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W w:w="9355" w:type="dxa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1474"/>
        <w:gridCol w:w="7881"/>
      </w:tblGrid>
      <w:tr>
        <w:tc>
          <w:tcPr>
            <w:tcW w:type="dxa" w:w="1474"/>
          </w:tcPr>
          <w:p>
            <w:pPr>
              <w:spacing w:after="60" w:before="20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3"/>
              </w:rPr>
              <w:t>В</w:t>
            </w:r>
          </w:p>
        </w:tc>
        <w:tc>
          <w:tcPr>
            <w:tcW w:type="dxa" w:w="7880"/>
          </w:tcPr>
          <w:p>
            <w:pPr>
              <w:spacing w:after="60" w:before="20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3"/>
              </w:rPr>
              <w:t>[наименование территориального органа Социального фонда России]</w:t>
            </w:r>
          </w:p>
        </w:tc>
      </w:tr>
      <w:tr>
        <w:tc>
          <w:tcPr>
            <w:tcW w:type="dxa" w:w="1474"/>
          </w:tcPr>
          <w:p>
            <w:pPr>
              <w:spacing w:after="60" w:before="20"/>
            </w:pPr>
            <w:r/>
          </w:p>
        </w:tc>
        <w:tc>
          <w:tcPr>
            <w:tcW w:type="dxa" w:w="7880"/>
          </w:tcPr>
          <w:p>
            <w:pPr>
              <w:spacing w:after="60" w:before="20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3"/>
              </w:rPr>
              <w:t>[адрес территориального органа]</w:t>
            </w:r>
          </w:p>
        </w:tc>
      </w:tr>
      <w:tr>
        <w:tc>
          <w:tcPr>
            <w:tcW w:type="dxa" w:w="1474"/>
          </w:tcPr>
          <w:p>
            <w:pPr>
              <w:spacing w:after="60" w:before="20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3"/>
              </w:rPr>
              <w:t>От</w:t>
            </w:r>
          </w:p>
        </w:tc>
        <w:tc>
          <w:tcPr>
            <w:tcW w:type="dxa" w:w="7880"/>
          </w:tcPr>
          <w:p>
            <w:pPr>
              <w:spacing w:after="60" w:before="20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3"/>
              </w:rPr>
              <w:t>[полное наименование страхователя]</w:t>
            </w:r>
          </w:p>
        </w:tc>
      </w:tr>
      <w:tr>
        <w:tc>
          <w:tcPr>
            <w:tcW w:type="dxa" w:w="1474"/>
          </w:tcPr>
          <w:p>
            <w:pPr>
              <w:spacing w:after="60" w:before="20"/>
            </w:pPr>
            <w:r/>
          </w:p>
        </w:tc>
        <w:tc>
          <w:tcPr>
            <w:tcW w:type="dxa" w:w="7880"/>
          </w:tcPr>
          <w:p>
            <w:pPr>
              <w:spacing w:after="60" w:before="20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3"/>
              </w:rPr>
              <w:t>ИНН [   ], КПП [   ], ОГРН [   ]</w:t>
            </w:r>
          </w:p>
        </w:tc>
      </w:tr>
      <w:tr>
        <w:tc>
          <w:tcPr>
            <w:tcW w:type="dxa" w:w="1474"/>
          </w:tcPr>
          <w:p>
            <w:pPr>
              <w:spacing w:after="60" w:before="20"/>
            </w:pPr>
            <w:r/>
          </w:p>
        </w:tc>
        <w:tc>
          <w:tcPr>
            <w:tcW w:type="dxa" w:w="7880"/>
          </w:tcPr>
          <w:p>
            <w:pPr>
              <w:spacing w:after="60" w:before="20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3"/>
              </w:rPr>
              <w:t>Регистрационный номер страхователя [   ]</w:t>
            </w:r>
          </w:p>
        </w:tc>
      </w:tr>
      <w:tr>
        <w:tc>
          <w:tcPr>
            <w:tcW w:type="dxa" w:w="1474"/>
          </w:tcPr>
          <w:p>
            <w:pPr>
              <w:spacing w:after="60" w:before="20"/>
            </w:pPr>
            <w:r/>
          </w:p>
        </w:tc>
        <w:tc>
          <w:tcPr>
            <w:tcW w:type="dxa" w:w="7880"/>
          </w:tcPr>
          <w:p>
            <w:pPr>
              <w:spacing w:after="60" w:before="20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3"/>
              </w:rPr>
              <w:t>Код подчинённости [   ]</w:t>
            </w:r>
          </w:p>
        </w:tc>
      </w:tr>
      <w:tr>
        <w:tc>
          <w:tcPr>
            <w:tcW w:type="dxa" w:w="1474"/>
          </w:tcPr>
          <w:p>
            <w:pPr>
              <w:spacing w:after="60" w:before="20"/>
            </w:pPr>
            <w:r/>
          </w:p>
        </w:tc>
        <w:tc>
          <w:tcPr>
            <w:tcW w:type="dxa" w:w="7880"/>
          </w:tcPr>
          <w:p>
            <w:pPr>
              <w:spacing w:after="60" w:before="20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3"/>
              </w:rPr>
              <w:t>Адрес [   ]</w:t>
            </w:r>
          </w:p>
        </w:tc>
      </w:tr>
      <w:tr>
        <w:tc>
          <w:tcPr>
            <w:tcW w:type="dxa" w:w="1474"/>
          </w:tcPr>
          <w:p>
            <w:pPr>
              <w:spacing w:after="60" w:before="20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3"/>
              </w:rPr>
              <w:t>Исх.</w:t>
            </w:r>
          </w:p>
        </w:tc>
        <w:tc>
          <w:tcPr>
            <w:tcW w:type="dxa" w:w="7880"/>
          </w:tcPr>
          <w:p>
            <w:pPr>
              <w:spacing w:after="60" w:before="20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3"/>
              </w:rPr>
              <w:t>№ [   ] от «___» ____________ 20___ г.</w:t>
            </w:r>
          </w:p>
        </w:tc>
      </w:tr>
    </w:tbl>
    <w:p>
      <w:pPr>
        <w:spacing w:after="0" w:before="0"/>
      </w:pPr>
      <w:r>
        <w:rPr>
          <w:rFonts w:ascii="Times New Roman" w:hAnsi="Times New Roman" w:cs="Times New Roman" w:eastAsia="Times New Roman"/>
          <w:b w:val="0"/>
          <w:i w:val="0"/>
          <w:sz w:val="10"/>
        </w:rPr>
      </w:r>
    </w:p>
    <w:p>
      <w:pPr>
        <w:spacing w:before="120" w:after="40"/>
        <w:jc w:val="center"/>
      </w:pPr>
      <w:r>
        <w:rPr>
          <w:rFonts w:ascii="Times New Roman" w:hAnsi="Times New Roman" w:cs="Times New Roman" w:eastAsia="Times New Roman"/>
          <w:b/>
          <w:i w:val="0"/>
          <w:sz w:val="28"/>
        </w:rPr>
        <w:t>ВОЗРАЖЕНИЯ</w:t>
      </w:r>
    </w:p>
    <w:p>
      <w:pPr>
        <w:spacing w:after="240"/>
        <w:jc w:val="center"/>
      </w:pPr>
      <w:r>
        <w:rPr>
          <w:rFonts w:ascii="Times New Roman" w:hAnsi="Times New Roman" w:cs="Times New Roman" w:eastAsia="Times New Roman"/>
          <w:b/>
          <w:i w:val="0"/>
          <w:sz w:val="24"/>
        </w:rPr>
        <w:t>на акт [камеральной / выездной] проверки от «___» ____________ 20___ г. № [   ]</w:t>
      </w:r>
    </w:p>
    <w:p>
      <w:pPr>
        <w:spacing w:after="120" w:before="0"/>
        <w:ind w:firstLine="709"/>
        <w:jc w:val="both"/>
      </w:pPr>
      <w:r>
        <w:rPr>
          <w:rFonts w:ascii="Times New Roman" w:hAnsi="Times New Roman" w:cs="Times New Roman" w:eastAsia="Times New Roman"/>
          <w:b w:val="0"/>
          <w:i w:val="0"/>
          <w:sz w:val="24"/>
        </w:rPr>
        <w:t>«___» ____________ 20___ г. [полное наименование страхователя] получило акт [камеральной / выездной] проверки от «___» ____________ 20___ г. № [   ], составленный [наименование территориального органа СФР]. Актом установлено нарушение срока представления сведений, необходимых для назначения и выплаты пособия [вид пособия] застрахованному лицу [СНИЛС застрахованного лица], и предложено привлечь страхователя к ответственности по части 3 статьи 15.2 Федерального закона от 29.12.2006 № 255-ФЗ в виде штрафа в размере 5 000 рублей [указать число эпизодов и общую сумму].</w:t>
      </w:r>
    </w:p>
    <w:p>
      <w:pPr>
        <w:spacing w:after="120" w:before="0"/>
        <w:ind w:firstLine="709"/>
        <w:jc w:val="both"/>
      </w:pPr>
      <w:r>
        <w:rPr>
          <w:rFonts w:ascii="Times New Roman" w:hAnsi="Times New Roman" w:cs="Times New Roman" w:eastAsia="Times New Roman"/>
          <w:b w:val="0"/>
          <w:i w:val="0"/>
          <w:sz w:val="24"/>
        </w:rPr>
        <w:t>Возражения представляются в срок, установленный статьёй 26.19 Федерального закона от 24.07.1998 № 125-ФЗ: в течение пятнадцати рабочих дней со дня получения акта проверки. Эта процедура применяется к ответственности по статье 15.2 255-ФЗ в силу части 4 указанной статьи.</w:t>
      </w:r>
    </w:p>
    <w:p>
      <w:pPr>
        <w:spacing w:after="80" w:before="0"/>
        <w:ind w:firstLine="709"/>
        <w:jc w:val="both"/>
      </w:pPr>
      <w:r>
        <w:rPr>
          <w:rFonts w:ascii="Times New Roman" w:hAnsi="Times New Roman" w:cs="Times New Roman" w:eastAsia="Times New Roman"/>
          <w:b w:val="0"/>
          <w:i w:val="0"/>
          <w:sz w:val="24"/>
        </w:rPr>
        <w:t>С выводами акта страхователь не согласен по следующим основаниям.</w:t>
      </w:r>
    </w:p>
    <w:p>
      <w:pPr>
        <w:keepNext/>
        <w:spacing w:before="260" w:after="100"/>
      </w:pPr>
      <w:r>
        <w:rPr>
          <w:rFonts w:ascii="Times New Roman" w:hAnsi="Times New Roman" w:cs="Times New Roman" w:eastAsia="Times New Roman"/>
          <w:b/>
          <w:i w:val="0"/>
          <w:color w:val="1F4E79"/>
          <w:sz w:val="26"/>
        </w:rPr>
        <w:t>1. Фактические обстоятельства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W w:w="9355" w:type="dxa"/>
      </w:tblPr>
      <w:tblGrid>
        <w:gridCol w:w="4876"/>
        <w:gridCol w:w="4479"/>
      </w:tblGrid>
      <w:tr>
        <w:trPr>
          <w:tblHeader w:val="true"/>
        </w:trPr>
        <w:tc>
          <w:tcPr>
            <w:tcW w:type="dxa" w:w="4876"/>
            <w:shd w:val="clear" w:color="auto" w:fill="1F4E79"/>
          </w:tcPr>
          <w:p>
            <w:pPr>
              <w:spacing w:after="40" w:before="20"/>
            </w:pPr>
            <w:r/>
            <w:r>
              <w:rPr>
                <w:rFonts w:ascii="Times New Roman" w:hAnsi="Times New Roman" w:cs="Times New Roman" w:eastAsia="Times New Roman"/>
                <w:b/>
                <w:i w:val="0"/>
                <w:color w:val="FFFFFF"/>
                <w:sz w:val="22"/>
              </w:rPr>
              <w:t>Обстоятельство</w:t>
            </w:r>
          </w:p>
        </w:tc>
        <w:tc>
          <w:tcPr>
            <w:tcW w:type="dxa" w:w="4479"/>
            <w:shd w:val="clear" w:color="auto" w:fill="1F4E79"/>
          </w:tcPr>
          <w:p>
            <w:pPr>
              <w:spacing w:after="40" w:before="20"/>
            </w:pPr>
            <w:r/>
            <w:r>
              <w:rPr>
                <w:rFonts w:ascii="Times New Roman" w:hAnsi="Times New Roman" w:cs="Times New Roman" w:eastAsia="Times New Roman"/>
                <w:b/>
                <w:i w:val="0"/>
                <w:color w:val="FFFFFF"/>
                <w:sz w:val="22"/>
              </w:rPr>
              <w:t>Значение</w:t>
            </w:r>
          </w:p>
        </w:tc>
      </w:tr>
      <w:tr>
        <w:tc>
          <w:tcPr>
            <w:tcW w:type="dxa" w:w="4876"/>
          </w:tcPr>
          <w:p>
            <w:pPr>
              <w:spacing w:after="40" w:before="20"/>
            </w:pPr>
            <w:r/>
            <w:r>
              <w:rPr>
                <w:rFonts w:ascii="Times New Roman" w:hAnsi="Times New Roman" w:cs="Times New Roman" w:eastAsia="Times New Roman"/>
                <w:b/>
                <w:i w:val="0"/>
                <w:sz w:val="22"/>
              </w:rPr>
              <w:t>Номер проактивного процесса</w:t>
            </w:r>
          </w:p>
        </w:tc>
        <w:tc>
          <w:tcPr>
            <w:tcW w:type="dxa" w:w="4479"/>
          </w:tcPr>
          <w:p>
            <w:pPr>
              <w:spacing w:after="40" w:before="20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>[   ]</w:t>
            </w:r>
          </w:p>
        </w:tc>
      </w:tr>
      <w:tr>
        <w:tc>
          <w:tcPr>
            <w:tcW w:type="dxa" w:w="4876"/>
          </w:tcPr>
          <w:p>
            <w:pPr>
              <w:spacing w:after="40" w:before="20"/>
            </w:pPr>
            <w:r/>
            <w:r>
              <w:rPr>
                <w:rFonts w:ascii="Times New Roman" w:hAnsi="Times New Roman" w:cs="Times New Roman" w:eastAsia="Times New Roman"/>
                <w:b/>
                <w:i w:val="0"/>
                <w:sz w:val="22"/>
              </w:rPr>
              <w:t>Идентификатор входящего запроса (сообщение 10010)</w:t>
            </w:r>
          </w:p>
        </w:tc>
        <w:tc>
          <w:tcPr>
            <w:tcW w:type="dxa" w:w="4479"/>
          </w:tcPr>
          <w:p>
            <w:pPr>
              <w:spacing w:after="40" w:before="20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>[   ]</w:t>
            </w:r>
          </w:p>
        </w:tc>
      </w:tr>
      <w:tr>
        <w:tc>
          <w:tcPr>
            <w:tcW w:type="dxa" w:w="4876"/>
          </w:tcPr>
          <w:p>
            <w:pPr>
              <w:spacing w:after="40" w:before="20"/>
            </w:pPr>
            <w:r/>
            <w:r>
              <w:rPr>
                <w:rFonts w:ascii="Times New Roman" w:hAnsi="Times New Roman" w:cs="Times New Roman" w:eastAsia="Times New Roman"/>
                <w:b/>
                <w:i w:val="0"/>
                <w:sz w:val="22"/>
              </w:rPr>
              <w:t>Дата и время направления запроса фондом</w:t>
            </w:r>
          </w:p>
        </w:tc>
        <w:tc>
          <w:tcPr>
            <w:tcW w:type="dxa" w:w="4479"/>
          </w:tcPr>
          <w:p>
            <w:pPr>
              <w:spacing w:after="40" w:before="20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>[   ]</w:t>
            </w:r>
          </w:p>
        </w:tc>
      </w:tr>
      <w:tr>
        <w:tc>
          <w:tcPr>
            <w:tcW w:type="dxa" w:w="4876"/>
          </w:tcPr>
          <w:p>
            <w:pPr>
              <w:spacing w:after="40" w:before="20"/>
            </w:pPr>
            <w:r/>
            <w:r>
              <w:rPr>
                <w:rFonts w:ascii="Times New Roman" w:hAnsi="Times New Roman" w:cs="Times New Roman" w:eastAsia="Times New Roman"/>
                <w:b/>
                <w:i w:val="0"/>
                <w:sz w:val="22"/>
              </w:rPr>
              <w:t>Дата и время фактического получения запроса страхователем</w:t>
            </w:r>
          </w:p>
        </w:tc>
        <w:tc>
          <w:tcPr>
            <w:tcW w:type="dxa" w:w="4479"/>
          </w:tcPr>
          <w:p>
            <w:pPr>
              <w:spacing w:after="40" w:before="20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>[   ]</w:t>
            </w:r>
          </w:p>
        </w:tc>
      </w:tr>
      <w:tr>
        <w:tc>
          <w:tcPr>
            <w:tcW w:type="dxa" w:w="4876"/>
          </w:tcPr>
          <w:p>
            <w:pPr>
              <w:spacing w:after="40" w:before="20"/>
            </w:pPr>
            <w:r/>
            <w:r>
              <w:rPr>
                <w:rFonts w:ascii="Times New Roman" w:hAnsi="Times New Roman" w:cs="Times New Roman" w:eastAsia="Times New Roman"/>
                <w:b/>
                <w:i w:val="0"/>
                <w:sz w:val="22"/>
              </w:rPr>
              <w:t>Источник даты получения</w:t>
            </w:r>
          </w:p>
        </w:tc>
        <w:tc>
          <w:tcPr>
            <w:tcW w:type="dxa" w:w="4479"/>
          </w:tcPr>
          <w:p>
            <w:pPr>
              <w:spacing w:after="40" w:before="20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>[регистр входящих сообщений СЭДО, журнал регистрации учётной программы, протокол оператора]</w:t>
            </w:r>
          </w:p>
        </w:tc>
      </w:tr>
      <w:tr>
        <w:tc>
          <w:tcPr>
            <w:tcW w:type="dxa" w:w="4876"/>
          </w:tcPr>
          <w:p>
            <w:pPr>
              <w:spacing w:after="40" w:before="20"/>
            </w:pPr>
            <w:r/>
            <w:r>
              <w:rPr>
                <w:rFonts w:ascii="Times New Roman" w:hAnsi="Times New Roman" w:cs="Times New Roman" w:eastAsia="Times New Roman"/>
                <w:b/>
                <w:i w:val="0"/>
                <w:sz w:val="22"/>
              </w:rPr>
              <w:t>Дата и время отправки ответа (сообщение 10110)</w:t>
            </w:r>
          </w:p>
        </w:tc>
        <w:tc>
          <w:tcPr>
            <w:tcW w:type="dxa" w:w="4479"/>
          </w:tcPr>
          <w:p>
            <w:pPr>
              <w:spacing w:after="40" w:before="20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>[   ]</w:t>
            </w:r>
          </w:p>
        </w:tc>
      </w:tr>
      <w:tr>
        <w:tc>
          <w:tcPr>
            <w:tcW w:type="dxa" w:w="4876"/>
          </w:tcPr>
          <w:p>
            <w:pPr>
              <w:spacing w:after="40" w:before="20"/>
            </w:pPr>
            <w:r/>
            <w:r>
              <w:rPr>
                <w:rFonts w:ascii="Times New Roman" w:hAnsi="Times New Roman" w:cs="Times New Roman" w:eastAsia="Times New Roman"/>
                <w:b/>
                <w:i w:val="0"/>
                <w:sz w:val="22"/>
              </w:rPr>
              <w:t>Результат обработки ответа фондом</w:t>
            </w:r>
          </w:p>
        </w:tc>
        <w:tc>
          <w:tcPr>
            <w:tcW w:type="dxa" w:w="4479"/>
          </w:tcPr>
          <w:p>
            <w:pPr>
              <w:spacing w:after="40" w:before="20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>[принят / отказ, код и текст]</w:t>
            </w:r>
          </w:p>
        </w:tc>
      </w:tr>
      <w:tr>
        <w:tc>
          <w:tcPr>
            <w:tcW w:type="dxa" w:w="4876"/>
          </w:tcPr>
          <w:p>
            <w:pPr>
              <w:spacing w:after="40" w:before="20"/>
            </w:pPr>
            <w:r/>
            <w:r>
              <w:rPr>
                <w:rFonts w:ascii="Times New Roman" w:hAnsi="Times New Roman" w:cs="Times New Roman" w:eastAsia="Times New Roman"/>
                <w:b/>
                <w:i w:val="0"/>
                <w:sz w:val="22"/>
              </w:rPr>
              <w:t>Дата получения акта проверки</w:t>
            </w:r>
          </w:p>
        </w:tc>
        <w:tc>
          <w:tcPr>
            <w:tcW w:type="dxa" w:w="4479"/>
          </w:tcPr>
          <w:p>
            <w:pPr>
              <w:spacing w:after="40" w:before="20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>[   ]</w:t>
            </w:r>
          </w:p>
        </w:tc>
      </w:tr>
    </w:tbl>
    <w:p>
      <w:pPr>
        <w:spacing w:after="0" w:before="0"/>
      </w:pPr>
      <w:r>
        <w:rPr>
          <w:rFonts w:ascii="Times New Roman" w:hAnsi="Times New Roman" w:cs="Times New Roman" w:eastAsia="Times New Roman"/>
          <w:b w:val="0"/>
          <w:i w:val="0"/>
          <w:sz w:val="10"/>
        </w:rPr>
      </w:r>
    </w:p>
    <w:p>
      <w:pPr>
        <w:spacing w:after="160" w:before="0"/>
        <w:ind w:left="283"/>
        <w:jc w:val="both"/>
      </w:pPr>
      <w:r>
        <w:rPr>
          <w:rFonts w:ascii="Times New Roman" w:hAnsi="Times New Roman" w:cs="Times New Roman" w:eastAsia="Times New Roman"/>
          <w:b w:val="0"/>
          <w:i/>
          <w:color w:val="595959"/>
          <w:sz w:val="21"/>
        </w:rPr>
        <w:t>Таблица заполняется до написания аргументов: почти каждый из них опирается на дату фактического получения запроса и дату отправки ответа. При отправке акта заказным письмом датой вручения считается шестой рабочий день с даты отправления.</w:t>
      </w:r>
    </w:p>
    <w:p>
      <w:pPr>
        <w:keepNext/>
        <w:spacing w:before="260" w:after="100"/>
      </w:pPr>
      <w:r>
        <w:rPr>
          <w:rFonts w:ascii="Times New Roman" w:hAnsi="Times New Roman" w:cs="Times New Roman" w:eastAsia="Times New Roman"/>
          <w:b/>
          <w:i w:val="0"/>
          <w:color w:val="1F4E79"/>
          <w:sz w:val="26"/>
        </w:rPr>
        <w:t>2. Основания возражений</w:t>
      </w:r>
    </w:p>
    <w:p>
      <w:pPr>
        <w:keepNext/>
        <w:spacing w:before="180" w:after="100"/>
      </w:pPr>
      <w:r>
        <w:rPr>
          <w:rFonts w:ascii="Times New Roman" w:hAnsi="Times New Roman" w:cs="Times New Roman" w:eastAsia="Times New Roman"/>
          <w:b/>
          <w:i w:val="0"/>
          <w:sz w:val="24"/>
        </w:rPr>
        <w:t>2.1. Отсутствие вины: сбой на стороне фонда или оператора</w:t>
      </w:r>
    </w:p>
    <w:p>
      <w:pPr>
        <w:spacing w:after="120" w:before="0"/>
        <w:ind w:firstLine="709"/>
        <w:jc w:val="both"/>
      </w:pPr>
      <w:r>
        <w:rPr>
          <w:rFonts w:ascii="Times New Roman" w:hAnsi="Times New Roman" w:cs="Times New Roman" w:eastAsia="Times New Roman"/>
          <w:b w:val="0"/>
          <w:i w:val="0"/>
          <w:sz w:val="24"/>
        </w:rPr>
        <w:t>В период с «___» ____________ 20___ г. по «___» ____________ 20___ г. обмен с информационной системой страховщика был нарушен по причинам, не зависящим от страхователя: [описать сбой: сообщение не поступило, ответ не принимался, сервис фонда был недоступен]. Страхователь предпринял все зависящие от него меры: [перечислить: регулярный запуск обмена, повторные отправки, обращение к оператору электронного документооборота, обращение в территориальный орган фонда]. Обстоятельства подтверждаются документами, указанными в приложениях [номера].</w:t>
      </w:r>
    </w:p>
    <w:p>
      <w:pPr>
        <w:spacing w:after="120" w:before="0"/>
        <w:ind w:firstLine="709"/>
        <w:jc w:val="both"/>
      </w:pPr>
      <w:r>
        <w:rPr>
          <w:rFonts w:ascii="Times New Roman" w:hAnsi="Times New Roman" w:cs="Times New Roman" w:eastAsia="Times New Roman"/>
          <w:b w:val="0"/>
          <w:i w:val="0"/>
          <w:sz w:val="24"/>
        </w:rPr>
        <w:t>Статья 26.25 Федерального закона от 24.07.1998 № 125-ФЗ относит к обстоятельствам, исключающим вину, в том числе иные обстоятельства, которые могут быть признаны таковыми судом. Технический сбой вне контура страхователя суды квалифицируют именно как обстоятельство, исключающее вину, а не как смягчающее: при таком выводе штраф отменяется полностью. Такой подход применён в постановлении Арбитражного суда Уральского округа от 04.03.2024 № Ф09-578/24, постановлении Арбитражного суда Северо-Западного округа от 03.09.2024 по делу № А42-10292/2023, постановлении Седьмого арбитражного апелляционного суда от 11.10.2024 по делу № А27-7344/2024, постановлении Девятого арбитражного апелляционного суда от 11.02.2025 по делу № А40-184524/2024 и постановлении Пятого арбитражного апелляционного суда от 03.06.2026 по делу № А24-88/2026.</w:t>
      </w:r>
    </w:p>
    <w:p>
      <w:pPr>
        <w:spacing w:after="160" w:before="0"/>
        <w:ind w:left="283"/>
        <w:jc w:val="both"/>
      </w:pPr>
      <w:r>
        <w:rPr>
          <w:rFonts w:ascii="Times New Roman" w:hAnsi="Times New Roman" w:cs="Times New Roman" w:eastAsia="Times New Roman"/>
          <w:b w:val="0"/>
          <w:i/>
          <w:color w:val="595959"/>
          <w:sz w:val="21"/>
        </w:rPr>
        <w:t>Применим, когда сбой затронул сторону фонда или оператора: запрос не дошёл, ответ не загрузился, сервис был недоступен. Если сбой произошёл в собственной системе страхователя, этот аргумент не работает: нарушение работы собственного оборудования суды относят к организационным вопросам хозяйствующего субъекта (постановление Арбитражного суда Северо-Западного округа от 18.03.2024 № Ф07-1747/2024, спор об электронной отчётности в фонд). В этом случае переходите к пункту 2.6.</w:t>
      </w:r>
    </w:p>
    <w:p>
      <w:pPr>
        <w:keepNext/>
        <w:spacing w:before="180" w:after="100"/>
      </w:pPr>
      <w:r>
        <w:rPr>
          <w:rFonts w:ascii="Times New Roman" w:hAnsi="Times New Roman" w:cs="Times New Roman" w:eastAsia="Times New Roman"/>
          <w:b/>
          <w:i w:val="0"/>
          <w:sz w:val="24"/>
        </w:rPr>
        <w:t>2.2. Сведения направлены в установленный срок</w:t>
      </w:r>
    </w:p>
    <w:p>
      <w:pPr>
        <w:spacing w:after="120" w:before="0"/>
        <w:ind w:firstLine="709"/>
        <w:jc w:val="both"/>
      </w:pPr>
      <w:r>
        <w:rPr>
          <w:rFonts w:ascii="Times New Roman" w:hAnsi="Times New Roman" w:cs="Times New Roman" w:eastAsia="Times New Roman"/>
          <w:b w:val="0"/>
          <w:i w:val="0"/>
          <w:sz w:val="24"/>
        </w:rPr>
        <w:t>Сведения по страховому случаю [СНИЛС застрахованного лица] направлены «___» ____________ 20___ г., то есть в пределах срока, установленного пунктом 22 Правил, утверждённых постановлением Правительства Российской Федерации от 23.11.2021 № 2010, и частью 8 статьи 13 Федерального закона от 29.12.2006 № 255-ФЗ. Факт отправки подтверждается [уведомление о доставке, протокол оператора, журнал регистрации событий учётной программы] (приложения [номера]). Задержка приёма сведений информационной системой страховщика произошла после их отправки страхователем и от него не зависела.</w:t>
      </w:r>
    </w:p>
    <w:p>
      <w:pPr>
        <w:spacing w:after="160" w:before="0"/>
        <w:ind w:left="283"/>
        <w:jc w:val="both"/>
      </w:pPr>
      <w:r>
        <w:rPr>
          <w:rFonts w:ascii="Times New Roman" w:hAnsi="Times New Roman" w:cs="Times New Roman" w:eastAsia="Times New Roman"/>
          <w:b w:val="0"/>
          <w:i/>
          <w:color w:val="595959"/>
          <w:sz w:val="21"/>
        </w:rPr>
        <w:t>Применим, когда сведения отправлены вовремя, но не приняты или приняты позже. Прямой нормы о том, что датой представления считается дата отправки, в 255-ФЗ и Правилах № 2010 нет, поэтому аргумент строится через отсутствие вины и подтверждается документами об отправке, а не ссылкой на норму.</w:t>
      </w:r>
    </w:p>
    <w:p>
      <w:pPr>
        <w:keepNext/>
        <w:spacing w:before="180" w:after="100"/>
      </w:pPr>
      <w:r>
        <w:rPr>
          <w:rFonts w:ascii="Times New Roman" w:hAnsi="Times New Roman" w:cs="Times New Roman" w:eastAsia="Times New Roman"/>
          <w:b/>
          <w:i w:val="0"/>
          <w:sz w:val="24"/>
        </w:rPr>
        <w:t>2.3. Срок считается с момента получения запроса</w:t>
      </w:r>
    </w:p>
    <w:p>
      <w:pPr>
        <w:spacing w:after="120" w:before="0"/>
        <w:ind w:firstLine="709"/>
        <w:jc w:val="both"/>
      </w:pPr>
      <w:r>
        <w:rPr>
          <w:rFonts w:ascii="Times New Roman" w:hAnsi="Times New Roman" w:cs="Times New Roman" w:eastAsia="Times New Roman"/>
          <w:b w:val="0"/>
          <w:i w:val="0"/>
          <w:sz w:val="24"/>
        </w:rPr>
        <w:t>Запрос страховщика направлен «___» ____________ 20___ г., а фактически получен страхователем «___» ____________ 20___ г. Ответ направлен «___» ____________ 20___ г., то есть в пределах трёх рабочих дней со дня получения запроса. Течение срока начинается на следующий день после получения: день получения в срок не входит. Эту позицию фонд формулирует прямо: дата получения извещения не входит в срок для ответа, течение срока начинается на следующий день.</w:t>
      </w:r>
    </w:p>
    <w:p>
      <w:pPr>
        <w:spacing w:after="120" w:before="0"/>
        <w:ind w:firstLine="709"/>
        <w:jc w:val="both"/>
      </w:pPr>
      <w:r>
        <w:rPr>
          <w:rFonts w:ascii="Times New Roman" w:hAnsi="Times New Roman" w:cs="Times New Roman" w:eastAsia="Times New Roman"/>
          <w:b w:val="0"/>
          <w:i w:val="0"/>
          <w:sz w:val="24"/>
        </w:rPr>
        <w:t>Правовая позиция о моменте начала течения срока изложена в постановлении Арбитражного суда Уральского округа от 04.03.2024 № Ф09-578/24: трёхдневный срок для представления сведений следует рассчитывать не с момента направления фондом запроса, а с момента получения данного запроса.</w:t>
      </w:r>
    </w:p>
    <w:p>
      <w:pPr>
        <w:spacing w:after="160" w:before="0"/>
        <w:ind w:left="283"/>
        <w:jc w:val="both"/>
      </w:pPr>
      <w:r>
        <w:rPr>
          <w:rFonts w:ascii="Times New Roman" w:hAnsi="Times New Roman" w:cs="Times New Roman" w:eastAsia="Times New Roman"/>
          <w:b w:val="0"/>
          <w:i/>
          <w:color w:val="595959"/>
          <w:sz w:val="21"/>
        </w:rPr>
        <w:t>Применим, когда между отправкой запроса фондом и его фактическим получением прошло время. Основной документ здесь - выгрузка из регистра входящих сообщений с датой и временем загрузки.</w:t>
      </w:r>
    </w:p>
    <w:p>
      <w:pPr>
        <w:keepNext/>
        <w:spacing w:before="180" w:after="100"/>
      </w:pPr>
      <w:r>
        <w:rPr>
          <w:rFonts w:ascii="Times New Roman" w:hAnsi="Times New Roman" w:cs="Times New Roman" w:eastAsia="Times New Roman"/>
          <w:b/>
          <w:i w:val="0"/>
          <w:sz w:val="24"/>
        </w:rPr>
        <w:t>2.4. Недостающие сведения получены от работника позже запроса</w:t>
      </w:r>
    </w:p>
    <w:p>
      <w:pPr>
        <w:spacing w:after="120" w:before="0"/>
        <w:ind w:firstLine="709"/>
        <w:jc w:val="both"/>
      </w:pPr>
      <w:r>
        <w:rPr>
          <w:rFonts w:ascii="Times New Roman" w:hAnsi="Times New Roman" w:cs="Times New Roman" w:eastAsia="Times New Roman"/>
          <w:b w:val="0"/>
          <w:i w:val="0"/>
          <w:sz w:val="24"/>
        </w:rPr>
        <w:t>Сведения, затребованные фондом, находились не у страхователя, а у застрахованного лица: [указать, какие именно сведения]. Работник передал их «___» ____________ 20___ г., после чего ответ направлен в течение трёх рабочих дней. По постановлению Арбитражного суда Северо-Кавказского округа от 03.04.2026 № Ф08-1754/2026 по делу № А53-21108/2025 трёхдневный срок для направления ответа на запрос фонда начинает течь не с момента поступления электронного запроса страхователю, а со дня получения им недостающих сведений от застрахованного лица.</w:t>
      </w:r>
    </w:p>
    <w:p>
      <w:pPr>
        <w:spacing w:after="160" w:before="0"/>
        <w:ind w:left="283"/>
        <w:jc w:val="both"/>
      </w:pPr>
      <w:r>
        <w:rPr>
          <w:rFonts w:ascii="Times New Roman" w:hAnsi="Times New Roman" w:cs="Times New Roman" w:eastAsia="Times New Roman"/>
          <w:b w:val="0"/>
          <w:i/>
          <w:color w:val="595959"/>
          <w:sz w:val="21"/>
        </w:rPr>
        <w:t>Применим, когда ответ зависел от данных работника: банковских реквизитов, сведений о других местах работы, документов на детей. Подтверждается перепиской с работником и датой поступления документов.</w:t>
      </w:r>
    </w:p>
    <w:p>
      <w:pPr>
        <w:keepNext/>
        <w:spacing w:before="180" w:after="100"/>
      </w:pPr>
      <w:r>
        <w:rPr>
          <w:rFonts w:ascii="Times New Roman" w:hAnsi="Times New Roman" w:cs="Times New Roman" w:eastAsia="Times New Roman"/>
          <w:b/>
          <w:i w:val="0"/>
          <w:sz w:val="24"/>
        </w:rPr>
        <w:t>2.5. Сведения уже имелись у фонда</w:t>
      </w:r>
    </w:p>
    <w:p>
      <w:pPr>
        <w:spacing w:after="120" w:before="0"/>
        <w:ind w:firstLine="709"/>
        <w:jc w:val="both"/>
      </w:pPr>
      <w:r>
        <w:rPr>
          <w:rFonts w:ascii="Times New Roman" w:hAnsi="Times New Roman" w:cs="Times New Roman" w:eastAsia="Times New Roman"/>
          <w:b w:val="0"/>
          <w:i w:val="0"/>
          <w:sz w:val="24"/>
        </w:rPr>
        <w:t>Сведения, о непредставлении которых указано в акте, страхователь направил ранее: [указать, когда и каким сообщением, приложить протокол приёма]. Повторно представлять те же самые сведения по отдельному запросу страхователь не обязан. Такой вывод сделан в постановлении Арбитражного суда Московского округа от 28.04.2025 по делу № А40-206524/2024, где штраф 5 000 рублей по части 3 статьи 15.2 255-ФЗ был снят.</w:t>
      </w:r>
    </w:p>
    <w:p>
      <w:pPr>
        <w:spacing w:after="120" w:before="0"/>
        <w:ind w:firstLine="709"/>
        <w:jc w:val="both"/>
      </w:pPr>
      <w:r>
        <w:rPr>
          <w:rFonts w:ascii="Times New Roman" w:hAnsi="Times New Roman" w:cs="Times New Roman" w:eastAsia="Times New Roman"/>
          <w:b w:val="0"/>
          <w:i w:val="0"/>
          <w:sz w:val="24"/>
        </w:rPr>
        <w:t>Дополнительно: с 1 июля 2026 года постановлением Правительства Российской Федерации от 10.05.2026 № 545 изменены пункты 3, 4, 22 и подпункт «б» пункта 36 Правил № 2010. Приоритет отдан сведениям индивидуального лицевого счёта, а страховой стаж и календарные дни периодов, которые страхователь представлял ранее и которые учтены в составе сведений индивидуального (персонифицированного) учёта, повторно у страхователя не запрашиваются. То, что страхователь не обязан представлять, он не может и представить с нарушением срока.</w:t>
      </w:r>
    </w:p>
    <w:p>
      <w:pPr>
        <w:spacing w:after="160" w:before="0"/>
        <w:ind w:left="283"/>
        <w:jc w:val="both"/>
      </w:pPr>
      <w:r>
        <w:rPr>
          <w:rFonts w:ascii="Times New Roman" w:hAnsi="Times New Roman" w:cs="Times New Roman" w:eastAsia="Times New Roman"/>
          <w:b w:val="0"/>
          <w:i/>
          <w:color w:val="595959"/>
          <w:sz w:val="21"/>
        </w:rPr>
        <w:t>Применим, когда запрошенные сведения уже направлялись или находятся в распоряжении фонда. Нормы об освобождении от ответственности постановление № 545 не содержит: оно сужает состав обязанности страхователя, поэтому ссылаться на него как на основание освобождения от штрафа нельзя.</w:t>
      </w:r>
    </w:p>
    <w:p>
      <w:pPr>
        <w:keepNext/>
        <w:spacing w:before="180" w:after="100"/>
      </w:pPr>
      <w:r>
        <w:rPr>
          <w:rFonts w:ascii="Times New Roman" w:hAnsi="Times New Roman" w:cs="Times New Roman" w:eastAsia="Times New Roman"/>
          <w:b/>
          <w:i w:val="0"/>
          <w:sz w:val="24"/>
        </w:rPr>
        <w:t>2.6. Процедурные нарушения и недоказанность состава</w:t>
      </w:r>
    </w:p>
    <w:p>
      <w:pPr>
        <w:spacing w:after="120" w:before="0"/>
        <w:ind w:firstLine="709"/>
        <w:jc w:val="both"/>
      </w:pPr>
      <w:r>
        <w:rPr>
          <w:rFonts w:ascii="Times New Roman" w:hAnsi="Times New Roman" w:cs="Times New Roman" w:eastAsia="Times New Roman"/>
          <w:b w:val="0"/>
          <w:i w:val="0"/>
          <w:sz w:val="24"/>
        </w:rPr>
        <w:t>При оформлении результатов проверки допущены нарушения: [указать, какие именно: уведомление о времени и месте рассмотрения материалов проверки не направлялось; страхователь не был обеспечен возможностью представить пояснения; факт получения документов страхователем не подтверждён; в акте не приведены обстоятельства, исключающие вину, смягчающие или отягчающие ответственность]. Статья 26.20 Федерального закона от 24.07.1998 № 125-ФЗ требует отражать в решении обстоятельства, исключающие вину, а также смягчающие и отягчающие обстоятельства.</w:t>
      </w:r>
    </w:p>
    <w:p>
      <w:pPr>
        <w:spacing w:after="120" w:before="0"/>
        <w:ind w:firstLine="709"/>
        <w:jc w:val="both"/>
      </w:pPr>
      <w:r>
        <w:rPr>
          <w:rFonts w:ascii="Times New Roman" w:hAnsi="Times New Roman" w:cs="Times New Roman" w:eastAsia="Times New Roman"/>
          <w:b w:val="0"/>
          <w:i w:val="0"/>
          <w:sz w:val="24"/>
        </w:rPr>
        <w:t>Процедурные нарушения признаются самостоятельным основанием для отмены штрафа: постановление Арбитражного суда Московского округа от 02.07.2025 по делу № А40-304695/2024. Обязанность доказать все обстоятельства и причины нарушения, включая вину страхователя, лежит на фонде: постановление Девятого арбитражного апелляционного суда от 26.02.2026 по делу № А40-242813/2025, где фонд не подтвердил факт направления страхователю документов.</w:t>
      </w:r>
    </w:p>
    <w:p>
      <w:pPr>
        <w:spacing w:after="160" w:before="0"/>
        <w:ind w:left="283"/>
        <w:jc w:val="both"/>
      </w:pPr>
      <w:r>
        <w:rPr>
          <w:rFonts w:ascii="Times New Roman" w:hAnsi="Times New Roman" w:cs="Times New Roman" w:eastAsia="Times New Roman"/>
          <w:b w:val="0"/>
          <w:i/>
          <w:color w:val="595959"/>
          <w:sz w:val="21"/>
        </w:rPr>
        <w:t>Применим всегда, когда фонд не подтвердил документально факт направления и получения запроса или уведомления о рассмотрении материалов проверки. Аргумент заявляется вместе с остальными, а не вместо них.</w:t>
      </w:r>
    </w:p>
    <w:p>
      <w:pPr>
        <w:keepNext/>
        <w:spacing w:before="180" w:after="100"/>
      </w:pPr>
      <w:r>
        <w:rPr>
          <w:rFonts w:ascii="Times New Roman" w:hAnsi="Times New Roman" w:cs="Times New Roman" w:eastAsia="Times New Roman"/>
          <w:b/>
          <w:i w:val="0"/>
          <w:sz w:val="24"/>
        </w:rPr>
        <w:t>2.7. Смягчающие обстоятельства (заявляется дополнительно)</w:t>
      </w:r>
    </w:p>
    <w:p>
      <w:pPr>
        <w:spacing w:after="120" w:before="0"/>
        <w:ind w:firstLine="709"/>
        <w:jc w:val="both"/>
      </w:pPr>
      <w:r>
        <w:rPr>
          <w:rFonts w:ascii="Times New Roman" w:hAnsi="Times New Roman" w:cs="Times New Roman" w:eastAsia="Times New Roman"/>
          <w:b w:val="0"/>
          <w:i w:val="0"/>
          <w:sz w:val="24"/>
        </w:rPr>
        <w:t>При отклонении доводов об отсутствии вины страхователь заявляет о наличии смягчающих обстоятельств: [нарушение совершено впервые; незначительный период просрочки; отсутствие умысла; оперативное устранение нарушения, сведения досланы; отсутствие ущерба для бюджета фонда; значительный объём сведений, направленных в срок]. По части 5 статьи 26.26 Федерального закона от 24.07.1998 № 125-ФЗ при наличии хотя бы одного смягчающего обстоятельства размер штрафа подлежит уменьшению не меньше чем в два раза. Верхнего предела снижения норма не устанавливает.</w:t>
      </w:r>
    </w:p>
    <w:p>
      <w:pPr>
        <w:spacing w:after="160" w:before="0"/>
        <w:ind w:left="283"/>
        <w:jc w:val="both"/>
      </w:pPr>
      <w:r>
        <w:rPr>
          <w:rFonts w:ascii="Times New Roman" w:hAnsi="Times New Roman" w:cs="Times New Roman" w:eastAsia="Times New Roman"/>
          <w:b w:val="0"/>
          <w:i/>
          <w:color w:val="595959"/>
          <w:sz w:val="21"/>
        </w:rPr>
        <w:t>Заявляется в возражениях и повторно при рассмотрении материалов проверки: отдельной нормы о ходатайстве о снижении в 125-ФЗ нет. Минтруд в письме от 04.03.2026 № 17-1/ООГ-117 подтверждает, что размер штрафа может быть снижен или отменён, если установлены смягчающие или исключающие вину обстоятельства.</w:t>
      </w:r>
    </w:p>
    <w:p>
      <w:pPr>
        <w:keepNext/>
        <w:spacing w:before="260" w:after="100"/>
      </w:pPr>
      <w:r>
        <w:rPr>
          <w:rFonts w:ascii="Times New Roman" w:hAnsi="Times New Roman" w:cs="Times New Roman" w:eastAsia="Times New Roman"/>
          <w:b/>
          <w:i w:val="0"/>
          <w:color w:val="1F4E79"/>
          <w:sz w:val="26"/>
        </w:rPr>
        <w:t>3. На основании изложенного</w:t>
      </w:r>
    </w:p>
    <w:p>
      <w:pPr>
        <w:spacing w:after="60" w:before="0"/>
        <w:ind w:left="283"/>
        <w:jc w:val="both"/>
      </w:pPr>
      <w:r>
        <w:rPr>
          <w:rFonts w:ascii="Times New Roman" w:hAnsi="Times New Roman" w:cs="Times New Roman" w:eastAsia="Times New Roman"/>
          <w:b w:val="0"/>
          <w:i w:val="0"/>
          <w:sz w:val="24"/>
        </w:rPr>
        <w:t>1. Прошу не привлекать [полное наименование страхователя] к ответственности по части 3 статьи 15.2 Федерального закона от 29.12.2006 № 255-ФЗ в связи с отсутствием события и вины в нарушении срока представления сведений.</w:t>
      </w:r>
    </w:p>
    <w:p>
      <w:pPr>
        <w:spacing w:after="60" w:before="0"/>
        <w:ind w:left="283"/>
        <w:jc w:val="both"/>
      </w:pPr>
      <w:r>
        <w:rPr>
          <w:rFonts w:ascii="Times New Roman" w:hAnsi="Times New Roman" w:cs="Times New Roman" w:eastAsia="Times New Roman"/>
          <w:b w:val="0"/>
          <w:i w:val="0"/>
          <w:sz w:val="24"/>
        </w:rPr>
        <w:t>2. При принятии решения о привлечении к ответственности прошу учесть смягчающие обстоятельства, указанные в пункте 2.7 настоящих возражений, и уменьшить размер штрафа по части 5 статьи 26.26 Федерального закона от 24.07.1998 № 125-ФЗ.</w:t>
      </w:r>
    </w:p>
    <w:p>
      <w:pPr>
        <w:spacing w:after="160" w:before="0"/>
        <w:ind w:left="283"/>
        <w:jc w:val="both"/>
      </w:pPr>
      <w:r>
        <w:rPr>
          <w:rFonts w:ascii="Times New Roman" w:hAnsi="Times New Roman" w:cs="Times New Roman" w:eastAsia="Times New Roman"/>
          <w:b w:val="0"/>
          <w:i w:val="0"/>
          <w:sz w:val="24"/>
        </w:rPr>
        <w:t>3. Прошу уведомить [полное наименование страхователя] о времени и месте рассмотрения материалов проверки.</w:t>
      </w:r>
    </w:p>
    <w:p>
      <w:pPr>
        <w:keepNext/>
        <w:spacing w:before="260" w:after="100"/>
      </w:pPr>
      <w:r>
        <w:rPr>
          <w:rFonts w:ascii="Times New Roman" w:hAnsi="Times New Roman" w:cs="Times New Roman" w:eastAsia="Times New Roman"/>
          <w:b/>
          <w:i w:val="0"/>
          <w:color w:val="1F4E79"/>
          <w:sz w:val="26"/>
        </w:rPr>
        <w:t>4. Приложения</w:t>
      </w:r>
    </w:p>
    <w:p>
      <w:pPr>
        <w:spacing w:after="120" w:before="0"/>
        <w:jc w:val="both"/>
      </w:pPr>
      <w:r>
        <w:rPr>
          <w:rFonts w:ascii="Times New Roman" w:hAnsi="Times New Roman" w:cs="Times New Roman" w:eastAsia="Times New Roman"/>
          <w:b w:val="0"/>
          <w:i w:val="0"/>
          <w:sz w:val="24"/>
        </w:rPr>
        <w:t>Перечень доказательств технического сбоя составлен по тем документам, которые суды принимали в делах об отмене штрафа. Прикладываются те, которые относятся к вашей ситуации; лишние строки удаляются.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W w:w="9355" w:type="dxa"/>
      </w:tblPr>
      <w:tblGrid>
        <w:gridCol w:w="567"/>
        <w:gridCol w:w="7541"/>
        <w:gridCol w:w="1247"/>
      </w:tblGrid>
      <w:tr>
        <w:trPr>
          <w:tblHeader w:val="true"/>
        </w:trPr>
        <w:tc>
          <w:tcPr>
            <w:tcW w:type="dxa" w:w="567"/>
            <w:shd w:val="clear" w:color="auto" w:fill="1F4E79"/>
          </w:tcPr>
          <w:p>
            <w:pPr>
              <w:spacing w:after="40" w:before="20"/>
            </w:pPr>
            <w:r/>
            <w:r>
              <w:rPr>
                <w:rFonts w:ascii="Times New Roman" w:hAnsi="Times New Roman" w:cs="Times New Roman" w:eastAsia="Times New Roman"/>
                <w:b/>
                <w:i w:val="0"/>
                <w:color w:val="FFFFFF"/>
                <w:sz w:val="21"/>
              </w:rPr>
              <w:t>№</w:t>
            </w:r>
          </w:p>
        </w:tc>
        <w:tc>
          <w:tcPr>
            <w:tcW w:type="dxa" w:w="7540"/>
            <w:shd w:val="clear" w:color="auto" w:fill="1F4E79"/>
          </w:tcPr>
          <w:p>
            <w:pPr>
              <w:spacing w:after="40" w:before="20"/>
            </w:pPr>
            <w:r/>
            <w:r>
              <w:rPr>
                <w:rFonts w:ascii="Times New Roman" w:hAnsi="Times New Roman" w:cs="Times New Roman" w:eastAsia="Times New Roman"/>
                <w:b/>
                <w:i w:val="0"/>
                <w:color w:val="FFFFFF"/>
                <w:sz w:val="21"/>
              </w:rPr>
              <w:t>Документ</w:t>
            </w:r>
          </w:p>
        </w:tc>
        <w:tc>
          <w:tcPr>
            <w:tcW w:type="dxa" w:w="1247"/>
            <w:shd w:val="clear" w:color="auto" w:fill="1F4E79"/>
          </w:tcPr>
          <w:p>
            <w:pPr>
              <w:spacing w:after="40" w:before="20"/>
            </w:pPr>
            <w:r/>
            <w:r>
              <w:rPr>
                <w:rFonts w:ascii="Times New Roman" w:hAnsi="Times New Roman" w:cs="Times New Roman" w:eastAsia="Times New Roman"/>
                <w:b/>
                <w:i w:val="0"/>
                <w:color w:val="FFFFFF"/>
                <w:sz w:val="21"/>
              </w:rPr>
              <w:t>Листов</w:t>
            </w:r>
          </w:p>
        </w:tc>
      </w:tr>
      <w:tr>
        <w:tc>
          <w:tcPr>
            <w:tcW w:type="dxa" w:w="567"/>
          </w:tcPr>
          <w:p>
            <w:pPr>
              <w:spacing w:after="40" w:before="20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>1</w:t>
            </w:r>
          </w:p>
        </w:tc>
        <w:tc>
          <w:tcPr>
            <w:tcW w:type="dxa" w:w="7540"/>
          </w:tcPr>
          <w:p>
            <w:pPr>
              <w:spacing w:after="40" w:before="20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>Письмо или справка оператора электронного документооборота о недоступности сервиса фонда в конкретные дату и время с указанием ошибок при направлении сообщений</w:t>
            </w:r>
          </w:p>
        </w:tc>
        <w:tc>
          <w:tcPr>
            <w:tcW w:type="dxa" w:w="1247"/>
          </w:tcPr>
          <w:p>
            <w:pPr>
              <w:spacing w:after="40" w:before="20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>___</w:t>
            </w:r>
          </w:p>
        </w:tc>
      </w:tr>
      <w:tr>
        <w:tc>
          <w:tcPr>
            <w:tcW w:type="dxa" w:w="567"/>
          </w:tcPr>
          <w:p>
            <w:pPr>
              <w:spacing w:after="40" w:before="20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>2</w:t>
            </w:r>
          </w:p>
        </w:tc>
        <w:tc>
          <w:tcPr>
            <w:tcW w:type="dxa" w:w="7540"/>
          </w:tcPr>
          <w:p>
            <w:pPr>
              <w:spacing w:after="40" w:before="20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>Акт технического анализа, подтверждающий нестабильность связи между сервисами оператора и информационной системой фонда</w:t>
            </w:r>
          </w:p>
        </w:tc>
        <w:tc>
          <w:tcPr>
            <w:tcW w:type="dxa" w:w="1247"/>
          </w:tcPr>
          <w:p>
            <w:pPr>
              <w:spacing w:after="40" w:before="20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>___</w:t>
            </w:r>
          </w:p>
        </w:tc>
      </w:tr>
      <w:tr>
        <w:tc>
          <w:tcPr>
            <w:tcW w:type="dxa" w:w="567"/>
          </w:tcPr>
          <w:p>
            <w:pPr>
              <w:spacing w:after="40" w:before="20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>3</w:t>
            </w:r>
          </w:p>
        </w:tc>
        <w:tc>
          <w:tcPr>
            <w:tcW w:type="dxa" w:w="7540"/>
          </w:tcPr>
          <w:p>
            <w:pPr>
              <w:spacing w:after="40" w:before="20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>Выгрузка из журнала регистрации событий учётной программы, регистра входящих сообщений и истории изменений, фиксирующая многократные попытки запуска обмена</w:t>
            </w:r>
          </w:p>
        </w:tc>
        <w:tc>
          <w:tcPr>
            <w:tcW w:type="dxa" w:w="1247"/>
          </w:tcPr>
          <w:p>
            <w:pPr>
              <w:spacing w:after="40" w:before="20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>___</w:t>
            </w:r>
          </w:p>
        </w:tc>
      </w:tr>
      <w:tr>
        <w:tc>
          <w:tcPr>
            <w:tcW w:type="dxa" w:w="567"/>
          </w:tcPr>
          <w:p>
            <w:pPr>
              <w:spacing w:after="40" w:before="20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>4</w:t>
            </w:r>
          </w:p>
        </w:tc>
        <w:tc>
          <w:tcPr>
            <w:tcW w:type="dxa" w:w="7540"/>
          </w:tcPr>
          <w:p>
            <w:pPr>
              <w:spacing w:after="40" w:before="20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>Выгрузка входящих файлов за спорный период, в которой запрос фонда отсутствует</w:t>
            </w:r>
          </w:p>
        </w:tc>
        <w:tc>
          <w:tcPr>
            <w:tcW w:type="dxa" w:w="1247"/>
          </w:tcPr>
          <w:p>
            <w:pPr>
              <w:spacing w:after="40" w:before="20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>___</w:t>
            </w:r>
          </w:p>
        </w:tc>
      </w:tr>
      <w:tr>
        <w:tc>
          <w:tcPr>
            <w:tcW w:type="dxa" w:w="567"/>
          </w:tcPr>
          <w:p>
            <w:pPr>
              <w:spacing w:after="40" w:before="20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>5</w:t>
            </w:r>
          </w:p>
        </w:tc>
        <w:tc>
          <w:tcPr>
            <w:tcW w:type="dxa" w:w="7540"/>
          </w:tcPr>
          <w:p>
            <w:pPr>
              <w:spacing w:after="40" w:before="20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>Снимки экрана с сообщениями об ошибке работы сервиса фонда в программе страхователя</w:t>
            </w:r>
          </w:p>
        </w:tc>
        <w:tc>
          <w:tcPr>
            <w:tcW w:type="dxa" w:w="1247"/>
          </w:tcPr>
          <w:p>
            <w:pPr>
              <w:spacing w:after="40" w:before="20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>___</w:t>
            </w:r>
          </w:p>
        </w:tc>
      </w:tr>
      <w:tr>
        <w:tc>
          <w:tcPr>
            <w:tcW w:type="dxa" w:w="567"/>
          </w:tcPr>
          <w:p>
            <w:pPr>
              <w:spacing w:after="40" w:before="20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>6</w:t>
            </w:r>
          </w:p>
        </w:tc>
        <w:tc>
          <w:tcPr>
            <w:tcW w:type="dxa" w:w="7540"/>
          </w:tcPr>
          <w:p>
            <w:pPr>
              <w:spacing w:after="40" w:before="20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>Подтверждение того, что в тот же период страхователь успешно направлял другие сообщения и реестры</w:t>
            </w:r>
          </w:p>
        </w:tc>
        <w:tc>
          <w:tcPr>
            <w:tcW w:type="dxa" w:w="1247"/>
          </w:tcPr>
          <w:p>
            <w:pPr>
              <w:spacing w:after="40" w:before="20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>___</w:t>
            </w:r>
          </w:p>
        </w:tc>
      </w:tr>
      <w:tr>
        <w:tc>
          <w:tcPr>
            <w:tcW w:type="dxa" w:w="567"/>
          </w:tcPr>
          <w:p>
            <w:pPr>
              <w:spacing w:after="40" w:before="20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>7</w:t>
            </w:r>
          </w:p>
        </w:tc>
        <w:tc>
          <w:tcPr>
            <w:tcW w:type="dxa" w:w="7540"/>
          </w:tcPr>
          <w:p>
            <w:pPr>
              <w:spacing w:after="40" w:before="20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>Уведомление о доставке документов и переписка с оператором электронного документооборота, подтверждающие отправку в срок</w:t>
            </w:r>
          </w:p>
        </w:tc>
        <w:tc>
          <w:tcPr>
            <w:tcW w:type="dxa" w:w="1247"/>
          </w:tcPr>
          <w:p>
            <w:pPr>
              <w:spacing w:after="40" w:before="20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>___</w:t>
            </w:r>
          </w:p>
        </w:tc>
      </w:tr>
      <w:tr>
        <w:tc>
          <w:tcPr>
            <w:tcW w:type="dxa" w:w="567"/>
          </w:tcPr>
          <w:p>
            <w:pPr>
              <w:spacing w:after="40" w:before="20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>8</w:t>
            </w:r>
          </w:p>
        </w:tc>
        <w:tc>
          <w:tcPr>
            <w:tcW w:type="dxa" w:w="7540"/>
          </w:tcPr>
          <w:p>
            <w:pPr>
              <w:spacing w:after="40" w:before="20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>Письмо-справка разработчика учётной программы о технических проблемах в работе СЭДО в спорный период</w:t>
            </w:r>
          </w:p>
        </w:tc>
        <w:tc>
          <w:tcPr>
            <w:tcW w:type="dxa" w:w="1247"/>
          </w:tcPr>
          <w:p>
            <w:pPr>
              <w:spacing w:after="40" w:before="20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>___</w:t>
            </w:r>
          </w:p>
        </w:tc>
      </w:tr>
      <w:tr>
        <w:tc>
          <w:tcPr>
            <w:tcW w:type="dxa" w:w="567"/>
          </w:tcPr>
          <w:p>
            <w:pPr>
              <w:spacing w:after="40" w:before="20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>9</w:t>
            </w:r>
          </w:p>
        </w:tc>
        <w:tc>
          <w:tcPr>
            <w:tcW w:type="dxa" w:w="7540"/>
          </w:tcPr>
          <w:p>
            <w:pPr>
              <w:spacing w:after="40" w:before="20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>Протокол обработки ответа фондом (сообщение 10510) с кодом и текстом результата</w:t>
            </w:r>
          </w:p>
        </w:tc>
        <w:tc>
          <w:tcPr>
            <w:tcW w:type="dxa" w:w="1247"/>
          </w:tcPr>
          <w:p>
            <w:pPr>
              <w:spacing w:after="40" w:before="20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>___</w:t>
            </w:r>
          </w:p>
        </w:tc>
      </w:tr>
      <w:tr>
        <w:tc>
          <w:tcPr>
            <w:tcW w:type="dxa" w:w="567"/>
          </w:tcPr>
          <w:p>
            <w:pPr>
              <w:spacing w:after="40" w:before="20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>10</w:t>
            </w:r>
          </w:p>
        </w:tc>
        <w:tc>
          <w:tcPr>
            <w:tcW w:type="dxa" w:w="7540"/>
          </w:tcPr>
          <w:p>
            <w:pPr>
              <w:spacing w:after="40" w:before="20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>Акт о техническом сбое при электронном взаимодействии с фондом, составленный комиссией страхователя</w:t>
            </w:r>
          </w:p>
        </w:tc>
        <w:tc>
          <w:tcPr>
            <w:tcW w:type="dxa" w:w="1247"/>
          </w:tcPr>
          <w:p>
            <w:pPr>
              <w:spacing w:after="40" w:before="20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>___</w:t>
            </w:r>
          </w:p>
        </w:tc>
      </w:tr>
      <w:tr>
        <w:tc>
          <w:tcPr>
            <w:tcW w:type="dxa" w:w="567"/>
          </w:tcPr>
          <w:p>
            <w:pPr>
              <w:spacing w:after="40" w:before="20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>11</w:t>
            </w:r>
          </w:p>
        </w:tc>
        <w:tc>
          <w:tcPr>
            <w:tcW w:type="dxa" w:w="7540"/>
          </w:tcPr>
          <w:p>
            <w:pPr>
              <w:spacing w:after="40" w:before="20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>Документы, подтверждающие дату получения недостающих сведений от застрахованного лица</w:t>
            </w:r>
          </w:p>
        </w:tc>
        <w:tc>
          <w:tcPr>
            <w:tcW w:type="dxa" w:w="1247"/>
          </w:tcPr>
          <w:p>
            <w:pPr>
              <w:spacing w:after="40" w:before="20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>___</w:t>
            </w:r>
          </w:p>
        </w:tc>
      </w:tr>
      <w:tr>
        <w:tc>
          <w:tcPr>
            <w:tcW w:type="dxa" w:w="567"/>
          </w:tcPr>
          <w:p>
            <w:pPr>
              <w:spacing w:after="40" w:before="20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>12</w:t>
            </w:r>
          </w:p>
        </w:tc>
        <w:tc>
          <w:tcPr>
            <w:tcW w:type="dxa" w:w="7540"/>
          </w:tcPr>
          <w:p>
            <w:pPr>
              <w:spacing w:after="40" w:before="20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>Документы, подтверждающие смягчающие обстоятельства</w:t>
            </w:r>
          </w:p>
        </w:tc>
        <w:tc>
          <w:tcPr>
            <w:tcW w:type="dxa" w:w="1247"/>
          </w:tcPr>
          <w:p>
            <w:pPr>
              <w:spacing w:after="40" w:before="20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>___</w:t>
            </w:r>
          </w:p>
        </w:tc>
      </w:tr>
    </w:tbl>
    <w:p>
      <w:pPr>
        <w:spacing w:after="0" w:before="0"/>
      </w:pPr>
      <w:r>
        <w:rPr>
          <w:rFonts w:ascii="Times New Roman" w:hAnsi="Times New Roman" w:cs="Times New Roman" w:eastAsia="Times New Roman"/>
          <w:b w:val="0"/>
          <w:i w:val="0"/>
          <w:sz w:val="10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W w:w="9355" w:type="dxa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536"/>
        <w:gridCol w:w="2381"/>
        <w:gridCol w:w="2438"/>
      </w:tblGrid>
      <w:tr>
        <w:tc>
          <w:tcPr>
            <w:tcW w:type="dxa" w:w="4535"/>
          </w:tcPr>
          <w:p>
            <w:pPr>
              <w:spacing w:after="40" w:before="20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3"/>
              </w:rPr>
              <w:t>[наименование должности руководителя]</w:t>
            </w:r>
          </w:p>
        </w:tc>
        <w:tc>
          <w:tcPr>
            <w:tcW w:type="dxa" w:w="2381"/>
          </w:tcPr>
          <w:p>
            <w:pPr>
              <w:spacing w:after="40" w:before="20"/>
              <w:jc w:val="center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3"/>
              </w:rPr>
              <w:t>______________</w:t>
            </w:r>
          </w:p>
        </w:tc>
        <w:tc>
          <w:tcPr>
            <w:tcW w:type="dxa" w:w="2438"/>
          </w:tcPr>
          <w:p>
            <w:pPr>
              <w:spacing w:after="40" w:before="20"/>
              <w:jc w:val="center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3"/>
              </w:rPr>
              <w:t>[И.О. Фамилия]</w:t>
            </w:r>
          </w:p>
        </w:tc>
      </w:tr>
      <w:tr>
        <w:tc>
          <w:tcPr>
            <w:tcW w:type="dxa" w:w="4535"/>
          </w:tcPr>
          <w:p>
            <w:pPr>
              <w:spacing w:after="40" w:before="20"/>
            </w:pPr>
            <w:r/>
          </w:p>
        </w:tc>
        <w:tc>
          <w:tcPr>
            <w:tcW w:type="dxa" w:w="2381"/>
          </w:tcPr>
          <w:p>
            <w:pPr>
              <w:spacing w:after="40" w:before="20"/>
              <w:jc w:val="center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18"/>
              </w:rPr>
              <w:t>(подпись)</w:t>
            </w:r>
          </w:p>
        </w:tc>
        <w:tc>
          <w:tcPr>
            <w:tcW w:type="dxa" w:w="2438"/>
          </w:tcPr>
          <w:p>
            <w:pPr>
              <w:spacing w:after="40" w:before="20"/>
            </w:pPr>
            <w:r/>
          </w:p>
        </w:tc>
      </w:tr>
    </w:tbl>
    <w:p>
      <w:pPr>
        <w:spacing w:after="0" w:before="0"/>
      </w:pPr>
      <w:r>
        <w:rPr>
          <w:rFonts w:ascii="Times New Roman" w:hAnsi="Times New Roman" w:cs="Times New Roman" w:eastAsia="Times New Roman"/>
          <w:b w:val="0"/>
          <w:i w:val="0"/>
          <w:sz w:val="10"/>
        </w:rPr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Layout w:type="fixed"/>
        <w:tblW w:w="9355" w:type="dxa"/>
      </w:tblPr>
      <w:tblGrid>
        <w:gridCol w:w="9355"/>
      </w:tblGrid>
      <w:tr>
        <w:tc>
          <w:tcPr>
            <w:tcW w:type="dxa" w:w="9354"/>
            <w:shd w:val="clear" w:color="auto" w:fill="FFF8E1"/>
          </w:tcPr>
          <w:p>
            <w:pPr>
              <w:spacing w:after="60"/>
            </w:pPr>
            <w:r/>
            <w:r>
              <w:rPr>
                <w:rFonts w:ascii="Times New Roman" w:hAnsi="Times New Roman" w:cs="Times New Roman" w:eastAsia="Times New Roman"/>
                <w:b/>
                <w:i w:val="0"/>
                <w:sz w:val="23"/>
              </w:rPr>
              <w:t>Сроки, о которых помнит заполняющий</w:t>
            </w:r>
          </w:p>
          <w:p>
            <w:pPr>
              <w:spacing w:after="40"/>
              <w:jc w:val="both"/>
            </w:pPr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>Возражения представляются в течение пятнадцати рабочих дней со дня получения акта проверки (статья 26.19 Федерального закона от 24.07.1998 № 125-ФЗ). При направлении акта заказным письмом датой вручения считается шестой рабочий день с даты отправления.</w:t>
            </w:r>
          </w:p>
          <w:p>
            <w:pPr>
              <w:spacing w:after="40"/>
              <w:jc w:val="both"/>
            </w:pPr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>Решение по результатам рассмотрения материалов выносится в течение десяти рабочих дней после истечения пятнадцатидневного срока на возражения; срок может быть продлён, но не более чем на один месяц. Решение вручается в течение пяти рабочих дней со дня вынесения и вступает в силу по истечении десяти рабочих дней со дня вручения (статья 26.20 125-ФЗ).</w:t>
            </w:r>
          </w:p>
          <w:p>
            <w:pPr>
              <w:spacing w:after="40"/>
              <w:jc w:val="both"/>
            </w:pPr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>Если решение уже вынесено, возражения подавать поздно: работает жалоба в вышестоящий орган страховщика или заявление в суд по статье 26.21 125-ФЗ, срок - три месяца со дня, когда лицо узнало о нарушении своих прав.</w:t>
            </w:r>
          </w:p>
        </w:tc>
      </w:tr>
    </w:tbl>
    <w:p>
      <w:pPr>
        <w:spacing w:after="0" w:before="0"/>
      </w:pPr>
      <w:r>
        <w:rPr>
          <w:rFonts w:ascii="Times New Roman" w:hAnsi="Times New Roman" w:cs="Times New Roman" w:eastAsia="Times New Roman"/>
          <w:b w:val="0"/>
          <w:i w:val="0"/>
          <w:sz w:val="10"/>
        </w:rPr>
      </w:r>
    </w:p>
    <w:p>
      <w:pPr>
        <w:spacing w:after="60" w:before="0"/>
        <w:jc w:val="both"/>
      </w:pPr>
      <w:r>
        <w:rPr>
          <w:rFonts w:ascii="Times New Roman" w:hAnsi="Times New Roman" w:cs="Times New Roman" w:eastAsia="Times New Roman"/>
          <w:b w:val="0"/>
          <w:i/>
          <w:color w:val="595959"/>
          <w:sz w:val="21"/>
        </w:rPr>
        <w:t>Образец подготовлен по состоянию на 23 сентября 2026 года. Проверьте актуальность норм и реквизиты судебных актов перед подачей.</w:t>
      </w:r>
    </w:p>
    <w:p>
      <w:pPr>
        <w:spacing w:after="120" w:before="0"/>
        <w:jc w:val="both"/>
      </w:pPr>
      <w:r>
        <w:rPr>
          <w:rFonts w:ascii="Times New Roman" w:hAnsi="Times New Roman" w:cs="Times New Roman" w:eastAsia="Times New Roman"/>
          <w:b w:val="0"/>
          <w:i/>
          <w:color w:val="595959"/>
          <w:sz w:val="21"/>
        </w:rPr>
        <w:t>Данные актуальны на 23 сентября 2026 года. Материал подготовлен сервисом КЭДО Добыто.</w:t>
      </w:r>
    </w:p>
    <w:sectPr w:rsidR="00FC693F" w:rsidRPr="0006063C" w:rsidSect="00034616">
      <w:footerReference w:type="default" r:id="rId9"/>
      <w:pgSz w:w="11906" w:h="16838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rFonts w:ascii="Times New Roman" w:hAnsi="Times New Roman" w:cs="Times New Roman" w:eastAsia="Times New Roman"/>
        <w:b w:val="0"/>
        <w:i/>
        <w:color w:val="595959"/>
        <w:sz w:val="18"/>
      </w:rPr>
      <w:t>Данные актуальны на 23 сентября 2026 года. Материал подготовлен сервисом КЭДО Добыто.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Times New Roman" w:hAnsi="Times New Roman" w:eastAsia="Times New Roman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