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40"/>
        <w:ind w:left="4677"/>
        <w:jc w:val="right"/>
      </w:pPr>
      <w:r>
        <w:rPr>
          <w:sz w:val="24"/>
          <w:szCs w:val="24"/>
        </w:rPr>
        <w:t xml:space="preserve">УТВЕРЖДЁН</w:t>
      </w:r>
    </w:p>
    <w:p>
      <w:pPr>
        <w:spacing w:after="0" w:line="240"/>
        <w:ind w:left="4677"/>
        <w:jc w:val="right"/>
      </w:pPr>
      <w:r>
        <w:rPr>
          <w:sz w:val="24"/>
          <w:szCs w:val="24"/>
        </w:rPr>
        <w:t xml:space="preserve">приказом [наименование организации]</w:t>
      </w:r>
    </w:p>
    <w:p>
      <w:pPr>
        <w:spacing w:after="0" w:line="240"/>
        <w:ind w:left="4677"/>
        <w:jc w:val="right"/>
      </w:pPr>
      <w:r>
        <w:rPr>
          <w:sz w:val="24"/>
          <w:szCs w:val="24"/>
        </w:rPr>
        <w:t xml:space="preserve">от [дата] № [номер приказа]</w:t>
      </w:r>
    </w:p>
    <w:p>
      <w:pPr>
        <w:spacing w:after="400"/>
      </w:pPr>
    </w:p>
    <w:p>
      <w:pPr>
        <w:spacing w:after="80"/>
        <w:jc w:val="center"/>
      </w:pPr>
      <w:r>
        <w:rPr>
          <w:b/>
          <w:bCs/>
          <w:sz w:val="28"/>
          <w:szCs w:val="28"/>
        </w:rPr>
        <w:t xml:space="preserve">РЕГЛАМЕНТ</w:t>
      </w:r>
    </w:p>
    <w:p>
      <w:pPr>
        <w:spacing w:after="320" w:line="276"/>
        <w:jc w:val="center"/>
      </w:pPr>
      <w:r>
        <w:rPr>
          <w:b/>
          <w:bCs/>
          <w:sz w:val="24"/>
          <w:szCs w:val="24"/>
        </w:rPr>
        <w:t xml:space="preserve">электронного взаимодействия с Социальным фондом России по вопросам назначения и выплаты пособий по обязательному социальному страхованию на случай временной нетрудоспособности и в связи с материнством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1. Общие положения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1.1. Настоящий Регламент определяет порядок обмена сведениями между [наименование организации] (далее - работодатель, страхователь) и Социальным фондом России (далее - СФР, фонд) через систему электронного документооборота СЭДО при назначении и выплате пособий по обязательному социальному страхованию на случай временной нетрудоспособности и в связи с материнством.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1.2. Регламент распространяется на все структурные подразделения работодателя и обязателен для исполнения работниками, указанными в разделе 2.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1.3. Регламент разработан в соответствии с: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Федеральным законом от 29.12.2006 № 255-ФЗ "Об обязательном социальном страховании на случай временной нетрудоспособности и в связи с материнством" в редакции от 20.02.2026 (изменения внесены Федеральным законом № 29-ФЗ);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Постановлением Правительства Российской Федерации от 23.11.2021 № 2010 в редакции от 10.05.2026. Изменения внесены постановлением Правительства Российской Федерации от 10.05.2026 № 545 и вступили в силу 1 июля 2026 года.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1.4. С 1 июля 2026 года изменён приоритет источников сведений для назначения пособия: сначала используются данные индивидуального лицевого счёта застрахованного лица, затем сведения, уже имеющиеся у страховщика, и только после этого - данные, представленные страхователем. Из состава сведений, которые передаёт работодатель, исключены страховой стаж и календарные дни, если они ранее представлялись страхователем и учтены в составе сведений индивидуального (персонифицированного) учёта.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1.5. Обмен ведётся по типам сообщений СЭДО, действующим с 21 сентября 2026 года. Приём и отправка типов сообщений 100, 101, 105, 107, 109, 112, 124, 320, 321, 322 прекращены 19 сентября 2026 года в 10:00 по московскому времени. Соответствие типов приведено в таблице 1.</w:t>
      </w:r>
    </w:p>
    <w:p>
      <w:pPr>
        <w:keepNext/>
        <w:spacing w:after="80" w:before="80"/>
      </w:pPr>
      <w:r>
        <w:rPr>
          <w:i/>
          <w:iCs/>
          <w:sz w:val="22"/>
          <w:szCs w:val="22"/>
        </w:rPr>
        <w:t xml:space="preserve">Таблица 1. Типы сообщений СЭДО, применяемые в обмене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1600"/>
        <w:gridCol w:w="1600"/>
        <w:gridCol w:w="6154"/>
      </w:tblGrid>
      <w:tr>
        <w:trPr>
          <w:tblHeader/>
        </w:trPr>
        <w:tc>
          <w:tcPr>
            <w:tcW w:type="dxa" w:w="16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Прежний тип</w:t>
            </w:r>
          </w:p>
        </w:tc>
        <w:tc>
          <w:tcPr>
            <w:tcW w:type="dxa" w:w="16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Действующий тип</w:t>
            </w:r>
          </w:p>
        </w:tc>
        <w:tc>
          <w:tcPr>
            <w:tcW w:type="dxa" w:w="615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Назначение сообщения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100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10010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Входящий запрос СФР для расчёта пособия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101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10110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 страхователя на запрос СФР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105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10510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Протокол: результат обработки ответа на запрос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107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10710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Уведомление об изменении расчёта пособия либо об ответе другого страхователя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109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10910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Исходящее сообщение страхователя о страховом случае (инициация процесса)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112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11210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Протокол: результат обработки информации о жизненных событиях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124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12410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Уведомление об отсутствии ответа страхователя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320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32010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Запрос данных о среднем заработке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321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32110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Ответ: средний заработок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322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32210</w:t>
            </w:r>
          </w:p>
        </w:tc>
        <w:tc>
          <w:tcPr>
            <w:tcW w:type="dxa" w:w="61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Данные СФР для расчёта пособий</w:t>
            </w:r>
          </w:p>
        </w:tc>
      </w:tr>
    </w:tbl>
    <w:p>
      <w:pPr>
        <w:spacing w:after="160" w:before="60"/>
      </w:pPr>
      <w:r>
        <w:rPr>
          <w:i/>
          <w:iCs/>
          <w:sz w:val="22"/>
          <w:szCs w:val="22"/>
        </w:rPr>
        <w:t xml:space="preserve">Отправка сообщения прежнего типа после 19 сентября 2026 года приводит к отказу шлюза, а срок ответа при этом продолжает течь.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1.6. Все исходящие сообщения подписываются усиленной квалифицированной электронной подписью. Сертификат, которым подписывается обмен с СФР, должен содержать в поле "Использование ключа" параметры keyAgreement (согласование ключей), dataEncipherment (шифрование данных) и keyEncipherment (шифрование ключа). С 1 сентября 2026 года СФР прекратил приём отчётности, подписанной сертификатами без этих параметров.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1.7. Используемое средство криптографической защиты информации должно соответствовать рекомендациям СФР: КриптоПро CSP версии 4.0 и выше либо ViPNet CSP версии 4.4 и выше.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2. Участники обмена и зоны ответственности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2.1. Зоны ответственности распределяются согласно таблице 2. Конкретные работники назначаются приказом работодателя.</w:t>
      </w:r>
    </w:p>
    <w:p>
      <w:pPr>
        <w:keepNext/>
        <w:spacing w:after="80" w:before="80"/>
      </w:pPr>
      <w:r>
        <w:rPr>
          <w:i/>
          <w:iCs/>
          <w:sz w:val="22"/>
          <w:szCs w:val="22"/>
        </w:rPr>
        <w:t xml:space="preserve">Таблица 2. Распределение зон ответственности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2600"/>
        <w:gridCol w:w="6754"/>
      </w:tblGrid>
      <w:tr>
        <w:trPr>
          <w:tblHeader/>
        </w:trPr>
        <w:tc>
          <w:tcPr>
            <w:tcW w:type="dxa" w:w="26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Участник</w:t>
            </w:r>
          </w:p>
        </w:tc>
        <w:tc>
          <w:tcPr>
            <w:tcW w:type="dxa" w:w="675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Зона ответственности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Кадровая служба</w:t>
            </w:r>
          </w:p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[должность]</w:t>
            </w:r>
          </w:p>
        </w:tc>
        <w:tc>
          <w:tcPr>
            <w:tcW w:type="dxa" w:w="67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Ежедневный приём входящих сообщений СЭДО; сверка персональных данных работника (фамилия, имя, отчество, дата рождения, СНИЛС) со сведениями персонифицированного учёта; подготовка и проведение подраздела 1.1 формы ЕФС-1 при приёме и увольнении; формирование сообщений типа 10910; контроль сроков по разделу 7 настоящего Регламента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Бухгалтерия (расчётная группа)</w:t>
            </w:r>
          </w:p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[должность]</w:t>
            </w:r>
          </w:p>
        </w:tc>
        <w:tc>
          <w:tcPr>
            <w:tcW w:type="dxa" w:w="67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Формирование ответа типа 10110: сведения о среднем заработке, периодах, районном коэффициенте, реквизитах для перечисления; проверка данных запроса до его передачи на подписание; разбор протоколов типа 10510 и 11210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Служба информационных технологий</w:t>
            </w:r>
          </w:p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[должность]</w:t>
            </w:r>
          </w:p>
        </w:tc>
        <w:tc>
          <w:tcPr>
            <w:tcW w:type="dxa" w:w="67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Работоспособность канала обмена и учётной программы; актуальность релиза и установка исправлений; установка и своевременная замена сертификатов; настройка регламентных заданий опроса; выгрузка журналов обмена для фиксации сбоя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Ответственный за подписание</w:t>
            </w:r>
          </w:p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[должность]</w:t>
            </w:r>
          </w:p>
        </w:tc>
        <w:tc>
          <w:tcPr>
            <w:tcW w:type="dxa" w:w="67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Подписание исходящих сообщений усиленной квалифицированной электронной подписью; контроль срока действия сертификата и его соответствия требованиям пункта 1.6; при работе по машиночитаемой доверенности - контроль состава полномочий и актуальности доверенности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Ответственный за контроль сроков</w:t>
            </w:r>
          </w:p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[должность]</w:t>
            </w:r>
          </w:p>
        </w:tc>
        <w:tc>
          <w:tcPr>
            <w:tcW w:type="dxa" w:w="67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Ведение журнала контроля сроков; еженедельная сверка открытых процессов; эскалация просрочек руководителю</w:t>
            </w:r>
          </w:p>
        </w:tc>
      </w:tr>
    </w:tbl>
    <w:p>
      <w:pPr>
        <w:spacing w:after="160" w:before="60"/>
      </w:pPr>
      <w:r>
        <w:rPr>
          <w:i/>
          <w:iCs/>
          <w:sz w:val="22"/>
          <w:szCs w:val="22"/>
        </w:rPr>
        <w:t xml:space="preserve">Совмещение ролей допускается, за исключением совмещения роли ответственного за подписание и роли ответственного за контроль сроков.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2.2. На период отпуска, временной нетрудоспособности или иного отсутствия ответственного работника его обязанности исполняет работник, определённый приказом работодателя. Передача обязанностей оформляется до начала периода отсутствия.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3. Порядок работы с входящими запросами СФР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3.1. Проверка входящих сообщений СЭДО выполняется ежедневно в рабочие дни. Ответственный работник кадровой службы фиксирует в журнале контроля сроков дату и время поступления запроса типа 10010 и предельную дату ответа.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3.2. Сроки ответа на входящий запрос приведены в таблице 3.</w:t>
      </w:r>
    </w:p>
    <w:p>
      <w:pPr>
        <w:keepNext/>
        <w:spacing w:after="80" w:before="80"/>
      </w:pPr>
      <w:r>
        <w:rPr>
          <w:i/>
          <w:iCs/>
          <w:sz w:val="22"/>
          <w:szCs w:val="22"/>
        </w:rPr>
        <w:t xml:space="preserve">Таблица 3. Сроки ответа страхователя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6954"/>
        <w:gridCol w:w="2400"/>
      </w:tblGrid>
      <w:tr>
        <w:trPr>
          <w:tblHeader/>
        </w:trPr>
        <w:tc>
          <w:tcPr>
            <w:tcW w:type="dxa" w:w="695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4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Срок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 на запрос СФР для расчёта пособия (тип 10010)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 рабочих дня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Ответ по единовременному пособию при рождении ребёнка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2 рабочих дня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Представление информации о районном коэффициенте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2 рабочих дня со дня получения запроса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Передача сведений по закрытому листку нетрудоспособности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не позднее 3 рабочих дней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Передача сведений о застрахованном лице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не позднее 3 рабочих дней со дня их получения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Сведения для ежемесячного пособия по уходу за ребёнком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не позднее 3 рабочих дней со дня подачи работником заявления</w:t>
            </w:r>
          </w:p>
        </w:tc>
      </w:tr>
      <w:tr>
        <w:tc>
          <w:tcPr>
            <w:tcW w:type="dxa" w:w="69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Уведомление о прекращении права застрахованного лица на получение пособия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не позднее 3 рабочих дней</w:t>
            </w:r>
          </w:p>
        </w:tc>
      </w:tr>
    </w:tbl>
    <w:p>
      <w:pPr>
        <w:spacing w:after="160" w:before="60"/>
      </w:pPr>
      <w:r>
        <w:rPr>
          <w:i/>
          <w:iCs/>
          <w:sz w:val="22"/>
          <w:szCs w:val="22"/>
        </w:rPr>
        <w:t xml:space="preserve">Сроки установлены частями 8, 11 и 12 статьи 13 Федерального закона № 255-ФЗ и закреплены СФР в базе знаний страхователя.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3.3. Трёхдневный срок исчисляется со дня получения работодателем недостающих сведений от застрахованного лица, если без этих сведений ответ технически не может быть сформирован. Такой подход подтверждён постановлением Арбитражного суда Северо-Кавказского округа от 03.04.2026 по спору о реквизитах счёта работника. Факт и дата получения сведений от работника фиксируются письменно, иначе срок будет считаться с даты поступления запроса.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3.4. При формировании ответа типа 10110 запрещается: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изменять сумму заработка, указанную в проактивном запросе: расхождения по заработку устраняются корректировкой сведений персонифицированного учёта, а не правкой запроса;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редактировать защищённые поля запроса - метод назначения пособия, реквизиты документов о рождении ребёнка, причину нетрудоспособности. Изменение этих полей приводит к отказу с кодом ERR_PR_1029 "Значение поля недопустимо для редактирования";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корректировать суммы среднего заработка при работе по совместительству: ответ направляется без корректировки, метод назначения определяется системой автоматически.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3.5. Расхождения по страховому стажу при наличии подтверждающих документов устраняются изменением количества лет стажа в ответе на запрос. Замена лет расчётного периода выполняется в ответе на проактивный запрос, после чего направляется ответ на новый запрос с учётом замены.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3.6. Результат обработки ответа поступает протоколом типа 10510. Протокол проверяется в день поступления. При наличии ошибок вида ERR_PR_xxxx ответственный работник устраняет причину и направляет ответ повторно в пределах срока, установленного пунктом 3.2.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3.7. Поступление сообщения типа 12410 "Уведомление об отсутствии ответа страхователя" означает, что ответ не получен фондом, а процесс ещё не закрыт. Ответ направляется незамедлительно, факт просрочки фиксируется в журнале контроля сроков с указанием причины.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3.8. Сообщение типа 10710 поступает, если работник занят у нескольких работодателей и ответ направил другой страхователь либо изменились параметры расчёта. Если другой страхователь изменил годы расчёта или вид договора, текущий процесс закрывается и открывается новый; действия работодателя ограничиваются ожиданием нового запроса типа 10010.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4. Порядок отправки сообщения о страховом случае (тип 10910)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4.1. Если запрос СФР типа 10010 по закрытому листку нетрудоспособности не поступил, работодатель сам инициирует проактивный процесс сообщением типа 10910. По официальной позиции СФР такое сообщение направляется через специализированного оператора связи в течение 3 дней с даты закрытия листка нетрудоспособности.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4.2. До отправки сообщения типа 10910 ответственный работник проверяет: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закрыт ли листок нетрудоспособности - через медицинскую организацию либо по сведениям личного кабинета работника на портале государственных услуг;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поступал ли запрос ранее - по регистру входящих сообщений СЭДО за период от даты закрытия листка нетрудоспособности по текущую дату;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соответствие регистрационного номера страхователя, указанного в карточке организации, номеру по обязательному социальному страхованию и актуальной выписке из Единого государственного реестра юридических лиц;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принят ли подраздел 1.1 формы ЕФС-1 о приёме работника и совпадает ли СНИЛС посимвольно со сведениями персонифицированного учёта.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4.3. Ответ на сообщение типа 10910 приходит протоколом типа 11210. По практике обмена протокол поступает в течение суток, после чего фонд направляет запрос типа 10010. Если протокол не поступил, выполняется принудительная загрузка входящих сообщений за период, а при отсутствии результата - действия по разделу 6.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4.4. Типовые причины, по которым проактивный запрос не приходит вовсе (официальный перечень СФР): расхождение фамилии, имени и отчества в разных информационных системах; некорректные записи о кадровых мероприятиях; трудоустройство не подтверждено в персонифицированном учёте. Расхождения анкетных данных устраняются подачей формы АДВ-2 "Заявление об изменении анкетных данных" либо получением дубликата листка нетрудоспособности с корректными данными; некорректное кадровое мероприятие отменяется, после чего направляются верные сведения.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4.5. Если проактивный процесс закрыт по причине того, что страхователь не направил ответ на запрос недостающих сведений в течение одного календарного месяца с даты направления запроса, ответ типа 10110 фондом больше не принимается. Восстановление выполняется направлением нового сообщения типа 10910 и последующим ответом на новый запрос.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4.6. Отдельные закрытия процесса являются штатными и не требуют действий работодателя: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процесс закрыт, поскольку в системе найден завершённый процесс по другому страхователю;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процесс закрыт в связи с наличием договора гражданско-правового характера у другого страхователя;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процесс закрыт, поскольку выплата пособия подтверждена другим страхователем;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процесс закрыт из-за изменения другим страхователем расчётных годов либо признака вида договора; в этом случае ожидается новый запрос с изменёнными данными.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4.7. Если процесс закрыт и пособие не было оплачено, перерасчёт по закрытому процессу невозможен. Работодатель направляет новое сообщение типа 10910 для инициации нового процесса.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5. Порядок работы с извещениями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5.1. Извещение фонда, поступившее по СЭДО, подтверждается страхователем в срок 3 рабочих дня с даты поступления. Подтверждение фиксирует факт получения и запускает срок подготовки ответа по существу.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5.2. Ответ на извещение по существу направляется в срок 5 рабочих дней со дня получения извещения. Ответ содержит сведения, которые фонд указал как недостающие или требующие уточнения.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5.3. Оба срока фиксируются в журнале контроля сроков отдельными строками. Нарушение срока подтверждения получения извещения и нарушение срока ответа по существу являются самостоятельными нарушениями.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5.4. Если извещение содержит сведения, относящиеся к компетенции нескольких подразделений, ответственный работник кадровой службы в день поступления направляет копию извещения в соответствующее подразделение и контролирует подготовку ответа в пределах срока по пункту 5.2.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6. Действия при техническом сбое и фиксация доказательств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6.1. Техническим сбоем для целей настоящего Регламента считается невозможность направить сообщение либо получить ответ фонда по причинам, не связанным с содержанием передаваемых сведений. Сбой квалифицируется по одному из трёх слоёв: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транспортный слой: соединение не установлено либо шлюз вернул код состояния 403, 404, 500, 502, 503, 504, а также ошибки вида E_SEDO_xxxx. Зона разбора - служба информационных технологий совместно с оператором электронного документооборота;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логический контроль фонда: сообщение принято, но отклонено с ошибкой вида ERR_PR_xxxx в протоколе типа 10510 или 11210. Зона разбора - подразделение, подготовившее данные;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разбор сообщения учётной программой: сообщение получено, но не обработано программой. Зона разбора - служба информационных технологий, решение связано с версией программного обеспечения.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6.2. Работник, обнаруживший сбой, в день обнаружения фиксирует: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дату и время обнаружения по московскому времени;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дословный текст сообщения об ошибке, включая код и номер проактивного процесса;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тип сообщения, которое отправлялось или ожидалось;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снимок экрана с отображением системной даты и времени;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sz w:val="24"/>
          <w:szCs w:val="24"/>
        </w:rPr>
        <w:t xml:space="preserve">выгрузку из журнала регистрации учётной программы за период сбоя.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6.3. По факту сбоя в день обнаружения составляется акт о техническом сбое при электронном взаимодействии с СФР. Акт подписывается ответственным работником, представителем службы информационных технологий и руководителем подразделения.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6.4. Служба информационных технологий в день обнаружения сбоя направляет обращение оператору электронного документооборота и приобщает к акту полученное уведомление либо письмо о технических неполадках. Ответ оператора приобщается к акту по мере поступления.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6.5. В качестве доказательств технического сбоя судами принимаются уведомления операторов электронного документооборота, снимки экрана с текстом ошибки, письма о технических неполадках и логи обмена данными. Комплект доказательств формируется в момент сбоя, а не в момент получения акта проверки фонда.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6.6. Различие, определяющее исход спора о штрафе: при сбое на оборудовании фонда штраф отменяется полностью, при сбое в системе самого страхователя штраф сохраняется, но может быть снижен как при наличии смягчающих обстоятельств. Подтверждающая практика: постановление Арбитражного суда Московского округа от 22.02.2024 по делу № А40-175408/2023 (штраф отменён, ошибка в сертификате шифрования была на стороне фонда); постановление Арбитражного суда Северо-Западного округа от 18.03.2024 № Ф07-1747/2024 (сбой у страхователя, штраф оставлен в силе); постановление Арбитражного суда Западно-Сибирского округа от 30.01.2025 № Ф04-5727/24 (сбой у страхователя учтён как смягчающее обстоятельство, размер штрафа снижен с 300 000 до 20 000 рублей).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6.7. Повторная отправка после устранения сбоя выполняется с контролем дублей. Часть сообщений уходит автоматически из очереди фоновой загрузки, поэтому ручная переотправка без проверки регистра исходящих способна создать дубль. При формировании ответа на повторный входящий запрос проверяется, что в ответ подставлен запрос с наибольшим номером проактивного процесса: ответ по ранее закрытому процессу фондом не принимается.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6.8. Для снижения числа отказов при пиковой нагрузке обмен по возможности выполняется до 8:00 либо после 18:00 по московскому времени.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6.9. Порядок обращения страхователя в территориальный орган СФР при техническом сбое нормативным актом не установлен. Работодатель определяет его самостоятельно: [указать способ обращения, подразделение территориального органа СФР и срок обращения, принятые в организации].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7. Контроль сроков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7.1. Ответственный за контроль сроков ведёт журнал, в котором по каждому процессу фиксируются: номер проактивного процесса; фамилия, имя и отчество застрахованного лица; тип поступившего сообщения; дата и время поступления; предельная дата ответа; дата фактической отправки; тип и дата протокола; результат обработки; отметка о сбое и реквизиты акта.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7.2. Сверка открытых процессов выполняется не реже одного раза в неделю. По каждому процессу, открытому более 20 календарных дней, проверяется наличие ответа: процесс закрывается фондом по истечении одного календарного месяца с даты направления запроса недостающих сведений, после чего требуется повторная инициация сообщением типа 10910.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7.3. При выявлении риска просрочки ответственный работник информирует руководителя подразделения в день выявления. Если причиной является технический сбой, одновременно инициируются действия по разделу 6.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7.4. Пособие выплачивается фондом в течение 10 рабочих дней с даты поступления всех необходимых сведений. Обращения работников о задержке выплаты рассматриваются после проверки факта и даты направления полного комплекта сведений по журналу контроля сроков.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8. Ответственность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8.1. Ответственность страхователя установлена статьёй 15.2 Федерального закона № 255-ФЗ. Размеры санкций приведены в таблице 4.</w:t>
      </w:r>
    </w:p>
    <w:p>
      <w:pPr>
        <w:keepNext/>
        <w:spacing w:after="80" w:before="80"/>
      </w:pPr>
      <w:r>
        <w:rPr>
          <w:i/>
          <w:iCs/>
          <w:sz w:val="22"/>
          <w:szCs w:val="22"/>
        </w:rPr>
        <w:t xml:space="preserve">Таблица 4. Ответственность страхователя по статье 15.2 Федерального закона № 255-ФЗ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1000"/>
        <w:gridCol w:w="5354"/>
        <w:gridCol w:w="3000"/>
      </w:tblGrid>
      <w:tr>
        <w:trPr>
          <w:tblHeader/>
        </w:trPr>
        <w:tc>
          <w:tcPr>
            <w:tcW w:type="dxa" w:w="10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Норма</w:t>
            </w:r>
          </w:p>
        </w:tc>
        <w:tc>
          <w:tcPr>
            <w:tcW w:type="dxa" w:w="535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Нарушение</w:t>
            </w:r>
          </w:p>
        </w:tc>
        <w:tc>
          <w:tcPr>
            <w:tcW w:type="dxa" w:w="30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Размер</w:t>
            </w:r>
          </w:p>
        </w:tc>
      </w:tr>
      <w:tr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часть 1</w:t>
            </w:r>
          </w:p>
        </w:tc>
        <w:tc>
          <w:tcPr>
            <w:tcW w:type="dxa" w:w="5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Отказ в представлении или непредставление в установленный срок документов, необходимых для контроля за полнотой и достоверностью сведений, представляемых для назначения и выплаты страхового обеспечения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200 рублей за каждый непредставленный документ</w:t>
            </w:r>
          </w:p>
        </w:tc>
      </w:tr>
      <w:tr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часть 2</w:t>
            </w:r>
          </w:p>
        </w:tc>
        <w:tc>
          <w:tcPr>
            <w:tcW w:type="dxa" w:w="5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Представление недостоверных сведений и документов либо их сокрытие, повлёкшие излишне понесённые расходы на выплату страхового обеспечения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20 процентов от суммы излишне понесённых расходов, но не более 5 000 рублей и не менее 1 000 рублей</w:t>
            </w:r>
          </w:p>
        </w:tc>
      </w:tr>
      <w:tr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часть 3</w:t>
            </w:r>
          </w:p>
        </w:tc>
        <w:tc>
          <w:tcPr>
            <w:tcW w:type="dxa" w:w="5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Нарушение установленного срока представления страховщику сведений, необходимых для назначения и выплаты страхового обеспечения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5 000 рублей</w:t>
            </w:r>
          </w:p>
        </w:tc>
      </w:tr>
    </w:tbl>
    <w:p>
      <w:pPr>
        <w:spacing w:after="160" w:before="60"/>
      </w:pPr>
      <w:r>
        <w:rPr>
          <w:i/>
          <w:iCs/>
          <w:sz w:val="22"/>
          <w:szCs w:val="22"/>
        </w:rPr>
        <w:t xml:space="preserve">Санкция в размере 5 процентов к статье 15.2 Федерального закона № 255-ФЗ не относится: это норма другого закона, касающаяся представления расчёта по страховым взносам.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8.2. При наличии смягчающих обстоятельств размер штрафа снижается не менее чем в два раза. Применяется порядок, аналогичный установленному пунктом 5 статьи 26.26 Федерального закона от 24.07.1998 № 125-ФЗ.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8.3. Нарушение трёхдневного срока передачи сведений по закрытому листку нетрудоспособности влечёт штраф 5 000 рублей по статье 15.2 Федерального закона № 255-ФЗ. При этом законодательство допускает признание обстоятельств, исключающих вину работодателя. Позиция изложена в письме Минтруда России от 04.03.2026 № 17-1/ООГ-117.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8.4. Административная ответственность должностных лиц установлена частью 4 статьи 15.33 Кодекса Российской Федерации об административных правонарушениях: непредставление в установленный срок либо отказ от представления в территориальные органы СФР документов и иных сведений, необходимых для контроля за страховым обеспечением, а равно представление их в неполном объёме или в искажённом виде влекут административный штраф на должностных лиц в размере от 300 до 500 рублей. Дело рассматривает мировой судья.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8.5. Работники, указанные в разделе 2, несут дисциплинарную ответственность за нарушение сроков и порядка, установленных настоящим Регламентом. Нарушение срока, вызванное техническим сбоем, зафиксированным по разделу 6, основанием для дисциплинарной ответственности не является.</w:t>
      </w:r>
    </w:p>
    <w:p>
      <w:pPr>
        <w:pStyle w:val="Heading1"/>
        <w:keepNext/>
        <w:spacing w:after="160" w:before="300"/>
      </w:pPr>
      <w:r>
        <w:rPr>
          <w:b/>
          <w:bCs/>
          <w:sz w:val="26"/>
          <w:szCs w:val="26"/>
        </w:rPr>
        <w:t xml:space="preserve">9. Заключительные положения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9.1. Регламент вступает в силу с [дата] и действует до его отмены или замены.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9.2. Работники, указанные в разделе 2, знакомятся с Регламентом под подпись. Лист ознакомления является неотъемлемой частью Регламента.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9.3. Регламент пересматривается при изменении нормативных правовых актов, перечисленных в пункте 1.3, при изменении состава или номеров типов сообщений СЭДО, а также при смене оператора электронного документооборота или учётной программы. Ответственный за актуализацию - [должность].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9.4. Контроль исполнения Регламента возлагается на [должность].</w:t>
      </w:r>
    </w:p>
    <w:p>
      <w:pPr>
        <w:spacing w:after="320"/>
      </w:pPr>
    </w:p>
    <w:p>
      <w:pPr>
        <w:spacing w:after="200"/>
      </w:pPr>
      <w:r>
        <w:rPr>
          <w:sz w:val="24"/>
          <w:szCs w:val="24"/>
        </w:rPr>
        <w:t xml:space="preserve">Регламент подготовил:</w:t>
      </w:r>
    </w:p>
    <w:p>
      <w:pPr>
        <w:spacing w:after="240"/>
      </w:pPr>
      <w:r>
        <w:rPr>
          <w:sz w:val="24"/>
          <w:szCs w:val="24"/>
        </w:rPr>
        <w:t xml:space="preserve">[должность]		_________________		[инициалы, фамилия]</w:t>
      </w:r>
    </w:p>
    <w:p>
      <w:pPr>
        <w:spacing w:after="200"/>
      </w:pPr>
      <w:r>
        <w:rPr>
          <w:sz w:val="24"/>
          <w:szCs w:val="24"/>
        </w:rPr>
        <w:t xml:space="preserve">Согласовано:</w:t>
      </w:r>
    </w:p>
    <w:p>
      <w:pPr>
        <w:spacing w:after="120"/>
      </w:pPr>
      <w:r>
        <w:rPr>
          <w:sz w:val="24"/>
          <w:szCs w:val="24"/>
        </w:rPr>
        <w:t xml:space="preserve">[должность]		_________________		[инициалы, фамилия]</w:t>
      </w:r>
    </w:p>
    <w:p>
      <w:pPr>
        <w:spacing w:after="0" w:before="240"/>
      </w:pPr>
    </w:p>
    <w:p>
      <w:pPr>
        <w:pBdr>
          <w:top w:val="single" w:color="999999" w:sz="4" w:space="6"/>
        </w:pBdr>
        <w:spacing w:after="0" w:before="120"/>
      </w:pPr>
      <w:r>
        <w:rPr>
          <w:i/>
          <w:iCs/>
          <w:sz w:val="20"/>
          <w:szCs w:val="20"/>
        </w:rPr>
        <w:t xml:space="preserve">Форма подготовлена по состоянию на 23 сентября 2026 года. Проверьте актуальность норм перед применением.</w:t>
      </w:r>
    </w:p>
    <w:sectPr>
      <w:footerReference w:type="default" r:id="rId7"/>
      <w:footerReference w:type="first" r:id="rId9"/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64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28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120" w:before="22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100" w:before="180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электронного взаимодействия с СФР по пособиям</dc:title>
  <dc:creator>dobyto.ru</dc:creator>
  <dc:description>Шаблон локального нормативного акта</dc:description>
  <cp:lastModifiedBy>Un-named</cp:lastModifiedBy>
  <cp:revision>1</cp:revision>
  <dcterms:created xsi:type="dcterms:W3CDTF">2026-09-23T09:09:39.922Z</dcterms:created>
  <dcterms:modified xsi:type="dcterms:W3CDTF">2026-09-23T09:09:39.923Z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