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76"/>
        <w:jc w:val="center"/>
      </w:pPr>
      <w:r>
        <w:rPr>
          <w:b/>
          <w:bCs/>
          <w:sz w:val="28"/>
          <w:szCs w:val="28"/>
        </w:rPr>
        <w:t xml:space="preserve">[ПОЛНОЕ НАИМЕНОВАНИЕ ОРГАНИЗАЦИИ]</w:t>
      </w:r>
    </w:p>
    <w:p>
      <w:pPr>
        <w:spacing w:after="60"/>
        <w:jc w:val="center"/>
      </w:pPr>
      <w:r>
        <w:rPr>
          <w:sz w:val="28"/>
          <w:szCs w:val="28"/>
        </w:rPr>
        <w:t xml:space="preserve">([сокращённое наименование организации])</w:t>
      </w:r>
    </w:p>
    <w:p>
      <w:pPr>
        <w:pBdr>
          <w:bottom w:val="single" w:color="000000" w:sz="6" w:space="4"/>
        </w:pBdr>
        <w:spacing w:after="120"/>
        <w:jc w:val="center"/>
      </w:pPr>
      <w:r>
        <w:rPr>
          <w:i/>
          <w:iCs/>
          <w:sz w:val="22"/>
          <w:szCs w:val="22"/>
        </w:rPr>
        <w:t xml:space="preserve">[адрес места нахождения, телефон, адрес электронной почты, ОГРН, ИНН/КПП]</w:t>
      </w:r>
    </w:p>
    <w:p>
      <w:pPr>
        <w:spacing w:after="300"/>
      </w:pPr>
    </w:p>
    <w:p>
      <w:pPr>
        <w:spacing w:after="220"/>
        <w:jc w:val="center"/>
      </w:pPr>
      <w:r>
        <w:rPr>
          <w:b/>
          <w:bCs/>
          <w:sz w:val="32"/>
          <w:szCs w:val="32"/>
        </w:rPr>
        <w:t xml:space="preserve">ПРИКАЗ</w:t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  <w:r>
              <w:rPr>
                <w:sz w:val="28"/>
                <w:szCs w:val="28"/>
              </w:rPr>
              <w:t xml:space="preserve">«____» ______________ 20____ г.</w:t>
            </w:r>
          </w:p>
        </w:tc>
        <w:tc>
          <w:tcPr>
            <w:tcW w:type="dxa" w:w="467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sz w:val="28"/>
                <w:szCs w:val="28"/>
              </w:rPr>
              <w:t xml:space="preserve">№ ______________</w:t>
            </w:r>
          </w:p>
        </w:tc>
      </w:tr>
    </w:tbl>
    <w:p>
      <w:pPr>
        <w:spacing w:after="180"/>
      </w:pPr>
    </w:p>
    <w:p>
      <w:pPr>
        <w:spacing w:after="300"/>
        <w:jc w:val="center"/>
      </w:pPr>
      <w:r>
        <w:rPr>
          <w:sz w:val="28"/>
          <w:szCs w:val="28"/>
        </w:rPr>
        <w:t xml:space="preserve">[город]</w:t>
      </w:r>
    </w:p>
    <w:p>
      <w:pPr>
        <w:spacing w:after="0" w:line="240"/>
      </w:pPr>
      <w:r>
        <w:rPr>
          <w:sz w:val="28"/>
          <w:szCs w:val="28"/>
        </w:rPr>
        <w:t xml:space="preserve">О назначении ответственных за электронное</w:t>
      </w:r>
    </w:p>
    <w:p>
      <w:pPr>
        <w:spacing w:after="0" w:line="240"/>
      </w:pPr>
      <w:r>
        <w:rPr>
          <w:sz w:val="28"/>
          <w:szCs w:val="28"/>
        </w:rPr>
        <w:t xml:space="preserve">взаимодействие с Социальным фондом России</w:t>
      </w:r>
    </w:p>
    <w:p>
      <w:pPr>
        <w:spacing w:after="320" w:line="240"/>
      </w:pPr>
      <w:r>
        <w:rPr>
          <w:sz w:val="28"/>
          <w:szCs w:val="28"/>
        </w:rPr>
        <w:t xml:space="preserve">по вопросам назначения и выплаты пособий</w:t>
      </w:r>
    </w:p>
    <w:p>
      <w:pPr>
        <w:spacing w:after="140" w:line="276"/>
        <w:ind w:firstLine="709"/>
        <w:jc w:val="both"/>
      </w:pPr>
      <w:r>
        <w:rPr>
          <w:sz w:val="28"/>
          <w:szCs w:val="28"/>
        </w:rPr>
        <w:t xml:space="preserve">В целях организации электронного документооборота с Социальным фондом России по системе СЭДО, обеспечения соблюдения сроков представления сведений, необходимых для назначения и выплаты пособий по обязательному социальному страхованию на случай временной нетрудоспособности и в связи с материнством, а также в связи с переходом на типы сообщений СЭДО, действующие с 21 сентября 2026 года, и в соответствии с Федеральным законом от 29.12.2006 № 255-ФЗ в редакции от 20.02.2026 и постановлением Правительства Российской Федерации от 23.11.2021 № 2010 в редакции от 10.05.2026</w:t>
      </w:r>
    </w:p>
    <w:p>
      <w:pPr>
        <w:spacing w:after="80"/>
      </w:pPr>
    </w:p>
    <w:p>
      <w:pPr>
        <w:spacing w:after="220"/>
      </w:pPr>
      <w:r>
        <w:rPr>
          <w:b/>
          <w:bCs/>
          <w:sz w:val="28"/>
          <w:szCs w:val="28"/>
        </w:rPr>
        <w:t xml:space="preserve">ПРИКАЗЫВАЮ:</w:t>
      </w:r>
    </w:p>
    <w:p>
      <w:pPr>
        <w:spacing w:after="140" w:line="276"/>
        <w:ind w:firstLine="709"/>
        <w:jc w:val="both"/>
      </w:pPr>
      <w:r>
        <w:rPr>
          <w:sz w:val="28"/>
          <w:szCs w:val="28"/>
        </w:rPr>
        <w:t xml:space="preserve">1. Назначить [должность] [инициалы, фамилия] ответственным за приём и обработку сообщений СЭДО. Возложить на него ежедневную в рабочие дни проверку входящих сообщений, регистрацию поступивших запросов типа 10010 и извещений, подготовку ответов типа 10110 и исходящих сообщений о страховом случае типа 10910, разбор протоколов типа 10510 и 11210.</w:t>
      </w:r>
    </w:p>
    <w:p>
      <w:pPr>
        <w:spacing w:after="140" w:line="276"/>
        <w:ind w:firstLine="709"/>
        <w:jc w:val="both"/>
      </w:pPr>
      <w:r>
        <w:rPr>
          <w:sz w:val="28"/>
          <w:szCs w:val="28"/>
        </w:rPr>
        <w:t xml:space="preserve">2. Назначить [должность] [инициалы, фамилия] ответственным за подписание исходящих сообщений СЭДО усиленной квалифицированной электронной подписью. Возложить на него контроль срока действия сертификата, а также контроль наличия в сертификате параметров поля "Использование ключа": keyAgreement, dataEncipherment, keyEncipherment. При работе по машиночитаемой доверенности возложить на него контроль состава полномочий и актуальности доверенности.</w:t>
      </w:r>
    </w:p>
    <w:p>
      <w:pPr>
        <w:spacing w:after="140" w:line="276"/>
        <w:ind w:firstLine="709"/>
        <w:jc w:val="both"/>
      </w:pPr>
      <w:r>
        <w:rPr>
          <w:sz w:val="28"/>
          <w:szCs w:val="28"/>
        </w:rPr>
        <w:t xml:space="preserve">3. Назначить [должность] [инициалы, фамилия] ответственным за контроль сроков представления сведений в Социальный фонд России. Возложить на него ведение журнала контроля сроков, еженедельную сверку открытых проактивных процессов и информирование руководителя при выявлении риска нарушения срока.</w:t>
      </w:r>
    </w:p>
    <w:p>
      <w:pPr>
        <w:spacing w:after="140" w:line="276"/>
        <w:ind w:firstLine="709"/>
        <w:jc w:val="both"/>
      </w:pPr>
      <w:r>
        <w:rPr>
          <w:sz w:val="28"/>
          <w:szCs w:val="28"/>
        </w:rPr>
        <w:t xml:space="preserve">4. Назначить [должность] [инициалы, фамилия] ответственным за действия при техническом сбое обмена. Возложить на него фиксацию сбоя, выгрузку журналов обмена, обращение к оператору электронного документооборота, получение уведомления или письма о технических неполадках, а также подготовку акта о техническом сбое в день его обнаружения.</w:t>
      </w:r>
    </w:p>
    <w:p>
      <w:pPr>
        <w:spacing w:after="140" w:line="276"/>
        <w:ind w:firstLine="709"/>
        <w:jc w:val="both"/>
      </w:pPr>
      <w:r>
        <w:rPr>
          <w:sz w:val="28"/>
          <w:szCs w:val="28"/>
        </w:rPr>
        <w:t xml:space="preserve">5. Работникам, указанным в пунктах 1-4 настоящего приказа, обеспечить соблюдение следующих сроков: 3 рабочих дня на ответ на запрос Социального фонда России для расчёта пособия; 2 рабочих дня на ответ по единовременному пособию при рождении ребёнка; 2 рабочих дня на представление информации о районном коэффициенте; 3 рабочих дня на подтверждение получения извещения; 5 рабочих дней на ответ по существу извещения; 3 рабочих дня на передачу сведений по закрытому листку нетрудоспособности.</w:t>
      </w:r>
    </w:p>
    <w:p>
      <w:pPr>
        <w:spacing w:after="140" w:line="276"/>
        <w:ind w:firstLine="709"/>
        <w:jc w:val="both"/>
      </w:pPr>
      <w:r>
        <w:rPr>
          <w:sz w:val="28"/>
          <w:szCs w:val="28"/>
        </w:rPr>
        <w:t xml:space="preserve">6. Работнику, указанному в пункте 1 настоящего приказа, при неполучении запроса Социального фонда России по закрытому листку нетрудоспособности направлять исходящее сообщение о страховом случае типа 10910 в течение 3 дней с даты закрытия листка нетрудоспособности.</w:t>
      </w:r>
    </w:p>
    <w:p>
      <w:pPr>
        <w:spacing w:after="140" w:line="276"/>
        <w:ind w:firstLine="709"/>
        <w:jc w:val="both"/>
      </w:pPr>
      <w:r>
        <w:rPr>
          <w:sz w:val="28"/>
          <w:szCs w:val="28"/>
        </w:rPr>
        <w:t xml:space="preserve">7. Работнику, указанному в пункте 4 настоящего приказа, обеспечить использование версии учётной программы, поддерживающей типы сообщений 10010, 10110, 10510, 10710, 10910, 11210, 12410, 32010, 32110, 32210, а также соответствие средства криптографической защиты информации рекомендациям Социального фонда России: КриптоПро CSP версии 4.0 и выше либо ViPNet CSP версии 4.4 и выше.</w:t>
      </w:r>
    </w:p>
    <w:p>
      <w:pPr>
        <w:spacing w:after="140" w:line="276"/>
        <w:ind w:firstLine="709"/>
        <w:jc w:val="both"/>
      </w:pPr>
      <w:r>
        <w:rPr>
          <w:sz w:val="28"/>
          <w:szCs w:val="28"/>
        </w:rPr>
        <w:t xml:space="preserve">8. Установить, что на период отпуска, временной нетрудоспособности, командировки и иного отсутствия работников, указанных в пунктах 1-4 настоящего приказа, их обязанности исполняют: за работника, указанного в пункте 1, - [должность] [инициалы, фамилия]; за работника, указанного в пункте 2, - [должность] [инициалы, фамилия]; за работника, указанного в пункте 3, - [должность] [инициалы, фамилия]; за работника, указанного в пункте 4, - [должность] [инициалы, фамилия].</w:t>
      </w:r>
    </w:p>
    <w:p>
      <w:pPr>
        <w:spacing w:after="140" w:line="276"/>
        <w:ind w:firstLine="709"/>
        <w:jc w:val="both"/>
      </w:pPr>
      <w:r>
        <w:rPr>
          <w:sz w:val="28"/>
          <w:szCs w:val="28"/>
        </w:rPr>
        <w:t xml:space="preserve">9. Работникам, указанным в пунктах 1-4 и 8 настоящего приказа, в работе руководствоваться Регламентом электронного взаимодействия с Социальным фондом России по вопросам назначения и выплаты пособий, утверждённым приказом от [дата] № [номер].</w:t>
      </w:r>
    </w:p>
    <w:p>
      <w:pPr>
        <w:spacing w:after="140" w:line="276"/>
        <w:ind w:firstLine="709"/>
        <w:jc w:val="both"/>
      </w:pPr>
      <w:r>
        <w:rPr>
          <w:sz w:val="28"/>
          <w:szCs w:val="28"/>
        </w:rPr>
        <w:t xml:space="preserve">10. [должность] [инициалы, фамилия] ознакомить с настоящим приказом работников, указанных в пунктах 1-4 и 8, под подпись в течение [срок] рабочих дней со дня издания приказа.</w:t>
      </w:r>
    </w:p>
    <w:p>
      <w:pPr>
        <w:spacing w:after="140" w:line="276"/>
        <w:ind w:firstLine="709"/>
        <w:jc w:val="both"/>
      </w:pPr>
      <w:r>
        <w:rPr>
          <w:sz w:val="28"/>
          <w:szCs w:val="28"/>
        </w:rPr>
        <w:t xml:space="preserve">11. Признать утратившим силу приказ от [дата] № [номер] "[наименование приказа]". [Пункт включается, если ранее издавался приказ о назначении ответственных; в противном случае исключается.]</w:t>
      </w:r>
    </w:p>
    <w:p>
      <w:pPr>
        <w:spacing w:after="140" w:line="276"/>
        <w:ind w:firstLine="709"/>
        <w:jc w:val="both"/>
      </w:pPr>
      <w:r>
        <w:rPr>
          <w:sz w:val="28"/>
          <w:szCs w:val="28"/>
        </w:rPr>
        <w:t xml:space="preserve">12. Контроль исполнения настоящего приказа оставляю за собой.</w:t>
      </w:r>
    </w:p>
    <w:p>
      <w:pPr>
        <w:spacing w:after="320"/>
      </w:pP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928"/>
        <w:gridCol w:w="2619"/>
        <w:gridCol w:w="2807"/>
      </w:tblGrid>
      <w:tr>
        <w:tc>
          <w:tcPr>
            <w:tcW w:type="dxa" w:w="3928"/>
            <w:tcMar>
              <w:left w:type="dxa" w:w="0"/>
              <w:right w:type="dxa" w:w="0"/>
            </w:tcMar>
          </w:tcPr>
          <w:p>
            <w:pPr>
              <w:spacing w:after="0"/>
            </w:pPr>
            <w:r>
              <w:rPr>
                <w:sz w:val="28"/>
                <w:szCs w:val="28"/>
              </w:rPr>
              <w:t xml:space="preserve">[Наименование должности руководителя]</w:t>
            </w:r>
          </w:p>
        </w:tc>
        <w:tc>
          <w:tcPr>
            <w:tcW w:type="dxa" w:w="2619"/>
            <w:tcMar>
              <w:left w:type="dxa" w:w="0"/>
              <w:right w:type="dxa" w:w="0"/>
            </w:tcMar>
          </w:tcPr>
          <w:p>
            <w:pPr>
              <w:spacing w:after="0"/>
              <w:jc w:val="center"/>
            </w:pPr>
            <w:r>
              <w:rPr>
                <w:sz w:val="28"/>
                <w:szCs w:val="28"/>
              </w:rPr>
              <w:t xml:space="preserve">______________</w:t>
            </w:r>
          </w:p>
        </w:tc>
        <w:tc>
          <w:tcPr>
            <w:tcW w:type="dxa" w:w="2807"/>
            <w:tcMar>
              <w:left w:type="dxa" w:w="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sz w:val="28"/>
                <w:szCs w:val="28"/>
              </w:rPr>
              <w:t xml:space="preserve">[И.О. Фамилия]</w:t>
            </w:r>
          </w:p>
        </w:tc>
      </w:tr>
    </w:tbl>
    <w:p>
      <w:pPr>
        <w:spacing w:after="300" w:before="20"/>
        <w:jc w:val="center"/>
      </w:pPr>
      <w:r>
        <w:rPr>
          <w:i/>
          <w:iCs/>
          <w:sz w:val="20"/>
          <w:szCs w:val="20"/>
        </w:rPr>
        <w:t xml:space="preserve">(подпись)</w:t>
      </w:r>
    </w:p>
    <w:p>
      <w:pPr>
        <w:keepNext/>
        <w:keepLines/>
        <w:spacing w:after="120" w:line="276"/>
      </w:pPr>
      <w:r>
        <w:rPr>
          <w:sz w:val="28"/>
          <w:szCs w:val="28"/>
        </w:rPr>
        <w:t xml:space="preserve">Согласовано:</w:t>
      </w:r>
    </w:p>
    <w:p>
      <w:pPr>
        <w:keepNext/>
        <w:keepLines/>
        <w:spacing w:after="120" w:line="276"/>
      </w:pPr>
      <w:r>
        <w:rPr>
          <w:sz w:val="28"/>
          <w:szCs w:val="28"/>
        </w:rPr>
        <w:t xml:space="preserve">[Наименование должности]      ______________      [И.О. Фамилия]</w:t>
      </w:r>
    </w:p>
    <w:p>
      <w:pPr>
        <w:keepLines/>
        <w:spacing w:after="320"/>
      </w:pPr>
      <w:r>
        <w:rPr>
          <w:sz w:val="28"/>
          <w:szCs w:val="28"/>
        </w:rPr>
        <w:t xml:space="preserve">«____» ______________ 20____ г.</w:t>
      </w:r>
    </w:p>
    <w:p>
      <w:pPr>
        <w:spacing w:after="160" w:before="120"/>
      </w:pPr>
      <w:r>
        <w:rPr>
          <w:b/>
          <w:bCs/>
          <w:sz w:val="28"/>
          <w:szCs w:val="28"/>
        </w:rPr>
        <w:t xml:space="preserve">С приказом ознакомлены:</w:t>
      </w:r>
    </w:p>
    <w:tbl>
      <w:tblPr>
        <w:tblW w:type="dxa" w:w="9354"/>
        <w:tblBorders>
          <w:top w:val="single" w:color="8C8C8C" w:sz="4"/>
          <w:left w:val="single" w:color="8C8C8C" w:sz="4"/>
          <w:bottom w:val="single" w:color="8C8C8C" w:sz="4"/>
          <w:right w:val="single" w:color="8C8C8C" w:sz="4"/>
          <w:insideH w:val="single" w:color="8C8C8C" w:sz="4"/>
          <w:insideV w:val="single" w:color="8C8C8C" w:sz="4"/>
        </w:tblBorders>
      </w:tblPr>
      <w:tblGrid>
        <w:gridCol w:w="700"/>
        <w:gridCol w:w="2619"/>
        <w:gridCol w:w="2432"/>
        <w:gridCol w:w="1900"/>
        <w:gridCol w:w="1703"/>
      </w:tblGrid>
      <w:tr>
        <w:trPr>
          <w:tblHeader/>
        </w:trPr>
        <w:tc>
          <w:tcPr>
            <w:tcW w:type="dxa" w:w="700"/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619"/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b/>
                <w:bCs/>
                <w:sz w:val="22"/>
                <w:szCs w:val="22"/>
              </w:rPr>
              <w:t xml:space="preserve">Должность</w:t>
            </w:r>
          </w:p>
        </w:tc>
        <w:tc>
          <w:tcPr>
            <w:tcW w:type="dxa" w:w="2432"/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b/>
                <w:bCs/>
                <w:sz w:val="22"/>
                <w:szCs w:val="22"/>
              </w:rPr>
              <w:t xml:space="preserve">Фамилия, имя, отчество</w:t>
            </w:r>
          </w:p>
        </w:tc>
        <w:tc>
          <w:tcPr>
            <w:tcW w:type="dxa" w:w="1900"/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b/>
                <w:bCs/>
                <w:sz w:val="22"/>
                <w:szCs w:val="22"/>
              </w:rPr>
              <w:t xml:space="preserve">Дата</w:t>
            </w:r>
          </w:p>
        </w:tc>
        <w:tc>
          <w:tcPr>
            <w:tcW w:type="dxa" w:w="1703"/>
            <w:shd w:fill="EFEFE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b/>
                <w:bCs/>
                <w:sz w:val="22"/>
                <w:szCs w:val="22"/>
              </w:rPr>
              <w:t xml:space="preserve">Подпись</w:t>
            </w:r>
          </w:p>
        </w:tc>
      </w:tr>
      <w:tr>
        <w:trPr>
          <w:trHeight w:val="500" w:hRule="atLeast"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type="dxa" w:w="2619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2432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1703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type="dxa" w:w="2619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2432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1703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type="dxa" w:w="2619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2432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1703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type="dxa" w:w="2619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2432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1703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type="dxa" w:w="2619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2432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1703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type="dxa" w:w="2619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2432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1703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type="dxa" w:w="2619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2432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1703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type="dxa" w:w="2619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2432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1703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line="240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240"/>
      </w:pPr>
    </w:p>
    <w:p>
      <w:pPr>
        <w:pBdr>
          <w:top w:val="single" w:color="999999" w:sz="4" w:space="6"/>
        </w:pBdr>
        <w:spacing w:after="0" w:before="120"/>
      </w:pPr>
      <w:r>
        <w:rPr>
          <w:i/>
          <w:iCs/>
          <w:sz w:val="24"/>
          <w:szCs w:val="24"/>
        </w:rPr>
        <w:t xml:space="preserve">Форма подготовлена по состоянию на 23 сентября 2026 года. Проверьте актуальность норм перед применением.</w:t>
      </w:r>
    </w:p>
    <w:sectPr>
      <w:headerReference w:type="default" r:id="rId7"/>
      <w:headerReference w:type="first" r:id="rId8"/>
      <w:footerReference w:type="default" r:id="rId10"/>
      <w:footerReference w:type="first" r:id="rId11"/>
      <w:pgSz w:w="11906" w:h="16838" w:orient="portrait"/>
      <w:pgMar w:top="1133" w:right="850" w:bottom="1133" w:left="1700" w:header="708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16"/>
      </w:rPr>
      <w:t>Материал подготовлен сервисом КЭДО Добыто, dobyto.ru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16"/>
      </w:rPr>
      <w:t>Материал подготовлен сервисом КЭДО Добыто, dobyto.ru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240"/>
      <w:jc w:val="center"/>
    </w:pPr>
    <w:r>
      <w:rPr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-"/>
      <w:lvlJc w:val="left"/>
      <w:pPr>
        <w:ind w:left="7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-"/>
      <w:lvlJc w:val="left"/>
      <w:pPr>
        <w:ind w:left="64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280"/>
    </w:pPr>
    <w:rPr>
      <w:rFonts w:ascii="Times New Roman" w:cs="Times New Roman" w:eastAsia="Times New Roman" w:hAnsi="Times New Roman"/>
      <w:b/>
      <w:bCs/>
      <w:color w:val="000000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20" w:before="22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00" w:before="180"/>
    </w:pPr>
    <w:rPr>
      <w:rFonts w:ascii="Times New Roman" w:cs="Times New Roman" w:eastAsia="Times New Roman" w:hAnsi="Times New Roman"/>
      <w:b/>
      <w:bCs/>
      <w:i/>
      <w:iCs/>
      <w:color w:val="000000"/>
      <w:sz w:val="28"/>
      <w:szCs w:val="28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ответственных за электронное взаимодействие с СФР</dc:title>
  <dc:creator>dobyto.ru</dc:creator>
  <dc:description>Шаблон приказа по ГОСТ Р 7.0.97-2016</dc:description>
  <cp:lastModifiedBy>Un-named</cp:lastModifiedBy>
  <cp:revision>1</cp:revision>
  <dcterms:created xsi:type="dcterms:W3CDTF">2026-09-23T09:09:40.085Z</dcterms:created>
  <dcterms:modified xsi:type="dcterms:W3CDTF">2026-09-23T09:09:40.085Z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