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247"/>
        <w:gridCol w:w="8108"/>
      </w:tblGrid>
      <w:tr>
        <w:tc>
          <w:tcPr>
            <w:tcW w:type="dxa" w:w="1247"/>
          </w:tcPr>
          <w:p>
            <w:pPr>
              <w:spacing w:after="60" w:before="20"/>
            </w:pPr>
            <w:r/>
          </w:p>
        </w:tc>
        <w:tc>
          <w:tcPr>
            <w:tcW w:type="dxa" w:w="8107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[полное наименование организации]</w:t>
            </w:r>
          </w:p>
        </w:tc>
      </w:tr>
      <w:tr>
        <w:tc>
          <w:tcPr>
            <w:tcW w:type="dxa" w:w="1247"/>
          </w:tcPr>
          <w:p>
            <w:pPr>
              <w:spacing w:after="60" w:before="20"/>
            </w:pPr>
            <w:r/>
          </w:p>
        </w:tc>
        <w:tc>
          <w:tcPr>
            <w:tcW w:type="dxa" w:w="8107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ИНН [   ], КПП [   ], ОГРН [   ]</w:t>
            </w:r>
          </w:p>
        </w:tc>
      </w:tr>
      <w:tr>
        <w:tc>
          <w:tcPr>
            <w:tcW w:type="dxa" w:w="1247"/>
          </w:tcPr>
          <w:p>
            <w:pPr>
              <w:spacing w:after="60" w:before="20"/>
            </w:pPr>
            <w:r/>
          </w:p>
        </w:tc>
        <w:tc>
          <w:tcPr>
            <w:tcW w:type="dxa" w:w="8107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Регистрационный номер страхователя [   ]</w:t>
            </w:r>
          </w:p>
        </w:tc>
      </w:tr>
      <w:tr>
        <w:tc>
          <w:tcPr>
            <w:tcW w:type="dxa" w:w="1247"/>
          </w:tcPr>
          <w:p>
            <w:pPr>
              <w:spacing w:after="60" w:before="20"/>
            </w:pPr>
            <w:r/>
          </w:p>
        </w:tc>
        <w:tc>
          <w:tcPr>
            <w:tcW w:type="dxa" w:w="8107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Код подчинённости [   ]</w:t>
            </w:r>
          </w:p>
        </w:tc>
      </w:tr>
      <w:tr>
        <w:tc>
          <w:tcPr>
            <w:tcW w:type="dxa" w:w="1247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Исх.</w:t>
            </w:r>
          </w:p>
        </w:tc>
        <w:tc>
          <w:tcPr>
            <w:tcW w:type="dxa" w:w="8107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№ [   ] от «___» ____________ 20___ г.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before="160" w:after="4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СПРАВКА</w:t>
      </w:r>
    </w:p>
    <w:p>
      <w:pPr>
        <w:spacing w:after="240"/>
        <w:jc w:val="center"/>
      </w:pPr>
      <w:r>
        <w:rPr>
          <w:rFonts w:ascii="Times New Roman" w:hAnsi="Times New Roman" w:cs="Times New Roman" w:eastAsia="Times New Roman"/>
          <w:b/>
          <w:i w:val="0"/>
          <w:sz w:val="24"/>
        </w:rPr>
        <w:t>о сумме заработка за два календарных года для расчёта пособия по временной нетрудоспособности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1. Сведения о работнике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3402"/>
        <w:gridCol w:w="5953"/>
      </w:tblGrid>
      <w:tr>
        <w:trPr>
          <w:tblHeader w:val="true"/>
        </w:trPr>
        <w:tc>
          <w:tcPr>
            <w:tcW w:type="dxa" w:w="3402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Реквизит</w:t>
            </w:r>
          </w:p>
        </w:tc>
        <w:tc>
          <w:tcPr>
            <w:tcW w:type="dxa" w:w="5953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Фамилия, имя, отчество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[И.О. Фамилия полностью]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СНИЛС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рождения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«___» ____________ ______ г.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Структурное подразделение, должность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[структурное подразделение, должность по штатному расписанию]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Период работы у страхователя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с «___» ____________ 20___ г. по «___» ____________ 20___ г. [или: по настоящее время]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Основание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Трудовой договор от «___» ____________ 20___ г. № [   ]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2. Заработок за расчётный период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Расчётный период для пособия, назначаемого в 2026 году, - 2024 и 2025 календарные годы. В графе 2 указывается сумма выплат, на которую начислены страховые взносы на обязательное социальное страхование на случай временной нетрудоспособности и в связи с материнством. К расчёту за каждый год принимается сумма не выше предельной базы по взносам за этот год.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2268"/>
        <w:gridCol w:w="2608"/>
        <w:gridCol w:w="2381"/>
        <w:gridCol w:w="2097"/>
      </w:tblGrid>
      <w:tr>
        <w:trPr>
          <w:tblHeader w:val="true"/>
        </w:trPr>
        <w:tc>
          <w:tcPr>
            <w:tcW w:type="dxa" w:w="2268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Календарный год</w:t>
            </w:r>
          </w:p>
        </w:tc>
        <w:tc>
          <w:tcPr>
            <w:tcW w:type="dxa" w:w="2608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Сумма заработка, на которую начислены взносы, руб.</w:t>
            </w:r>
          </w:p>
        </w:tc>
        <w:tc>
          <w:tcPr>
            <w:tcW w:type="dxa" w:w="2381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Предельная база по взносам за год, руб.</w:t>
            </w:r>
          </w:p>
        </w:tc>
        <w:tc>
          <w:tcPr>
            <w:tcW w:type="dxa" w:w="2098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Принимается к расчёту, руб.</w:t>
            </w:r>
          </w:p>
        </w:tc>
      </w:tr>
      <w:tr>
        <w:tc>
          <w:tcPr>
            <w:tcW w:type="dxa" w:w="226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2024</w:t>
            </w:r>
          </w:p>
        </w:tc>
        <w:tc>
          <w:tcPr>
            <w:tcW w:type="dxa" w:w="260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  <w:tc>
          <w:tcPr>
            <w:tcW w:type="dxa" w:w="238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2 225 000,00</w:t>
            </w:r>
          </w:p>
        </w:tc>
        <w:tc>
          <w:tcPr>
            <w:tcW w:type="dxa" w:w="209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226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2025</w:t>
            </w:r>
          </w:p>
        </w:tc>
        <w:tc>
          <w:tcPr>
            <w:tcW w:type="dxa" w:w="260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  <w:tc>
          <w:tcPr>
            <w:tcW w:type="dxa" w:w="238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2 759 000,00</w:t>
            </w:r>
          </w:p>
        </w:tc>
        <w:tc>
          <w:tcPr>
            <w:tcW w:type="dxa" w:w="209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226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Итого за два года</w:t>
            </w:r>
          </w:p>
        </w:tc>
        <w:tc>
          <w:tcPr>
            <w:tcW w:type="dxa" w:w="260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  <w:tc>
          <w:tcPr>
            <w:tcW w:type="dxa" w:w="238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4 984 000,00</w:t>
            </w:r>
          </w:p>
        </w:tc>
        <w:tc>
          <w:tcPr>
            <w:tcW w:type="dxa" w:w="2098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3. Периоды, исключаемые из расчёта (при наличии)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1701"/>
        <w:gridCol w:w="3402"/>
        <w:gridCol w:w="1360"/>
        <w:gridCol w:w="1360"/>
        <w:gridCol w:w="1530"/>
      </w:tblGrid>
      <w:tr>
        <w:trPr>
          <w:tblHeader w:val="true"/>
        </w:trPr>
        <w:tc>
          <w:tcPr>
            <w:tcW w:type="dxa" w:w="1701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Календарный год</w:t>
            </w:r>
          </w:p>
        </w:tc>
        <w:tc>
          <w:tcPr>
            <w:tcW w:type="dxa" w:w="3402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Наименование периода</w:t>
            </w:r>
          </w:p>
        </w:tc>
        <w:tc>
          <w:tcPr>
            <w:tcW w:type="dxa" w:w="1361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С</w:t>
            </w:r>
          </w:p>
        </w:tc>
        <w:tc>
          <w:tcPr>
            <w:tcW w:type="dxa" w:w="1361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По</w:t>
            </w:r>
          </w:p>
        </w:tc>
        <w:tc>
          <w:tcPr>
            <w:tcW w:type="dxa" w:w="1531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Календарных дней</w:t>
            </w:r>
          </w:p>
        </w:tc>
      </w:tr>
      <w:tr>
        <w:tc>
          <w:tcPr>
            <w:tcW w:type="dxa" w:w="170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53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</w:tr>
      <w:tr>
        <w:tc>
          <w:tcPr>
            <w:tcW w:type="dxa" w:w="170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53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</w:tr>
      <w:tr>
        <w:tc>
          <w:tcPr>
            <w:tcW w:type="dxa" w:w="170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  <w:tc>
          <w:tcPr>
            <w:tcW w:type="dxa" w:w="1531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[   ]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Раздел заполняется, если в расчётном периоде были периоды-исключения. Их состав страхователь определяет по данным кадрового и зарплатного учёта; закрытый перечень в этом образце не приводится, чтобы не подставить в документ то, чего в учёте нет.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4. Расчётные показатели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4762"/>
        <w:gridCol w:w="4592"/>
      </w:tblGrid>
      <w:tr>
        <w:trPr>
          <w:tblHeader w:val="true"/>
        </w:trPr>
        <w:tc>
          <w:tcPr>
            <w:tcW w:type="dxa" w:w="4762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Показатель</w:t>
            </w:r>
          </w:p>
        </w:tc>
        <w:tc>
          <w:tcPr>
            <w:tcW w:type="dxa" w:w="4592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Делитель расчётного периода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730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Средний дневной заработок фактический, руб.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[сумма, принимаемая к расчёту за два года, делённая на 730]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Максимальный средний дневной заработок в 2026 году, руб.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6 827,40 ((2 225 000 + 2 759 000) / 730)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Минимальный средний дневной заработок от МРОТ в 2026 году, руб.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890,73 (27 093 x 24 / 730)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Средний дневной заработок, принятый к расчёту, руб.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Страховой стаж на день наступления нетрудоспособности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 лет [   ] месяцев [   ] дней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Процент среднего заработка по страховому стажу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[60 % - до 5 лет / 80 % - от 5 до 8 лет / 100 % - от 8 лет]</w:t>
            </w:r>
          </w:p>
        </w:tc>
      </w:tr>
      <w:tr>
        <w:tc>
          <w:tcPr>
            <w:tcW w:type="dxa" w:w="476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Размер пособия за один календарный день, руб.</w:t>
            </w:r>
          </w:p>
        </w:tc>
        <w:tc>
          <w:tcPr>
            <w:tcW w:type="dxa" w:w="459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9355"/>
      </w:tblGrid>
      <w:tr>
        <w:tc>
          <w:tcPr>
            <w:tcW w:type="dxa" w:w="9354"/>
            <w:shd w:val="clear" w:color="auto" w:fill="FFF8E1"/>
          </w:tcPr>
          <w:p>
            <w:pPr>
              <w:spacing w:after="6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3"/>
              </w:rPr>
              <w:t>Как читаются границы расчёта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Если фактический средний дневной заработок ниже 890,73 рубля, расчёт ведётся от минимума. Если выше 6 827,40 рубля, к расчёту принимается максимум.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Для больничного по уходу за ребёнком до 8 лет процент по страховому стажу не применяется: пособие считается в размере 100 процентов среднего заработка независимо от стажа.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 страховом стаже менее 6 месяцев пособие за полный календарный месяц не может превышать МРОТ - 27 093 рубля в 2026 году.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Пособие в связи с несчастным случаем на производстве или профессиональным заболеванием назначается по закону 125-ФЗ: за весь период, в размере 100 процентов среднего заработка, без привязки к стажу. Верхний предел за полный календарный месяц с 1 февраля 2026 года - 503 156,64 рубля. Границы по 255-ФЗ к такому случаю не применяются.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5. Назначение справки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Справка выдана для расчёта пособия по временной нетрудоспособности. Первые 3 календарных дня болезни или травмы самого работника оплачивает работодатель, период начиная с 4-го дня и до закрытия листка - Социальный фонд России (пункт 1 части 2 статьи 3 Федерального закона от 29.12.2006 № 255-ФЗ). Процент по страховому стажу применяется к обеим частям пособия одинаково.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Сведения, указанные в справке, подтверждаются данными бухгалтерского учёта и отчётности страхователя.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6. Подписи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36"/>
        <w:gridCol w:w="2381"/>
        <w:gridCol w:w="2438"/>
      </w:tblGrid>
      <w:tr>
        <w:tc>
          <w:tcPr>
            <w:tcW w:type="dxa" w:w="4535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Руководитель организации</w:t>
            </w:r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______________</w:t>
            </w:r>
          </w:p>
        </w:tc>
        <w:tc>
          <w:tcPr>
            <w:tcW w:type="dxa" w:w="2438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[И.О. Фамилия]</w:t>
            </w:r>
          </w:p>
        </w:tc>
      </w:tr>
      <w:tr>
        <w:tc>
          <w:tcPr>
            <w:tcW w:type="dxa" w:w="4535"/>
          </w:tcPr>
          <w:p>
            <w:pPr>
              <w:spacing w:after="40" w:before="20"/>
            </w:pPr>
            <w:r/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8"/>
              </w:rPr>
              <w:t>(подпись)</w:t>
            </w:r>
          </w:p>
        </w:tc>
        <w:tc>
          <w:tcPr>
            <w:tcW w:type="dxa" w:w="2438"/>
          </w:tcPr>
          <w:p>
            <w:pPr>
              <w:spacing w:after="40" w:before="20"/>
            </w:pPr>
            <w:r/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36"/>
        <w:gridCol w:w="2381"/>
        <w:gridCol w:w="2438"/>
      </w:tblGrid>
      <w:tr>
        <w:tc>
          <w:tcPr>
            <w:tcW w:type="dxa" w:w="4535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Главный бухгалтер</w:t>
            </w:r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______________</w:t>
            </w:r>
          </w:p>
        </w:tc>
        <w:tc>
          <w:tcPr>
            <w:tcW w:type="dxa" w:w="2438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[И.О. Фамилия]</w:t>
            </w:r>
          </w:p>
        </w:tc>
      </w:tr>
      <w:tr>
        <w:tc>
          <w:tcPr>
            <w:tcW w:type="dxa" w:w="4535"/>
          </w:tcPr>
          <w:p>
            <w:pPr>
              <w:spacing w:after="40" w:before="20"/>
            </w:pPr>
            <w:r/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8"/>
              </w:rPr>
              <w:t>(подпись)</w:t>
            </w:r>
          </w:p>
        </w:tc>
        <w:tc>
          <w:tcPr>
            <w:tcW w:type="dxa" w:w="2438"/>
          </w:tcPr>
          <w:p>
            <w:pPr>
              <w:spacing w:after="40" w:before="20"/>
            </w:pPr>
            <w:r/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200" w:before="0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М.П. (при наличии печати)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9355"/>
      </w:tblGrid>
      <w:tr>
        <w:tc>
          <w:tcPr>
            <w:tcW w:type="dxa" w:w="9354"/>
            <w:shd w:val="clear" w:color="auto" w:fill="FFF8E1"/>
          </w:tcPr>
          <w:p>
            <w:pPr>
              <w:spacing w:after="6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3"/>
              </w:rPr>
              <w:t>Как заполнять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Все поля в квадратных скобках заменяются данными организации и работника. Организация в образце обезличена намеренно: наименование, ИНН, КПП, ОГРН и регистрационный номер страхователя подставляются при выдаче.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Унифицированная форма такой справки в источниках этого образца не закреплена, поэтому документ составлен в свободной форме. Обязательные для расчёта показатели собраны в разделах 2 и 4.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Если справка оформляется в электронном виде, порядок подписания определяется локальным нормативным актом об электронном документообороте.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60" w:before="0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Образец подготовлен по состоянию на 24 сентября 2026 года. Проверьте актуальность предельных баз по взносам, МРОТ и границ среднего дневного заработка на дату расчёта.</w:t>
      </w:r>
    </w:p>
    <w:p>
      <w:pPr>
        <w:spacing w:after="120" w:before="0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Данные актуальны на 24 сентября 2026 года. Материал подготовлен сервисом КЭДО Добыто.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cs="Times New Roman" w:eastAsia="Times New Roman"/>
        <w:b w:val="0"/>
        <w:i/>
        <w:color w:val="595959"/>
        <w:sz w:val="18"/>
      </w:rPr>
      <w:t>Данные актуальны на 24 сентября 2026 года. Материал подготовлен сервисом КЭДО Добыто.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