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76"/>
        <w:jc w:val="center"/>
      </w:pPr>
      <w:r>
        <w:rPr>
          <w:b/>
          <w:bCs/>
          <w:sz w:val="24"/>
          <w:szCs w:val="24"/>
        </w:rPr>
        <w:t xml:space="preserve">[ПОЛНОЕ НАИМЕНОВАНИЕ ОРГАНИЗАЦИИ]</w:t>
      </w:r>
    </w:p>
    <w:p>
      <w:pPr>
        <w:pBdr>
          <w:bottom w:val="single" w:color="000000" w:sz="6" w:space="4"/>
        </w:pBdr>
        <w:spacing w:after="120"/>
        <w:jc w:val="center"/>
      </w:pPr>
      <w:r>
        <w:rPr>
          <w:sz w:val="24"/>
          <w:szCs w:val="24"/>
        </w:rPr>
        <w:t xml:space="preserve">([сокращённое наименование организации])</w:t>
      </w:r>
    </w:p>
    <w:p>
      <w:pPr>
        <w:spacing w:after="280"/>
      </w:pPr>
    </w:p>
    <w:p>
      <w:pPr>
        <w:spacing w:after="180"/>
        <w:jc w:val="center"/>
      </w:pPr>
      <w:r>
        <w:rPr>
          <w:b/>
          <w:bCs/>
          <w:sz w:val="28"/>
          <w:szCs w:val="28"/>
        </w:rPr>
        <w:t xml:space="preserve">АКТ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Mar>
              <w:left w:type="dxa" w:w="0"/>
              <w:right w:type="dxa" w:w="0"/>
            </w:tcMar>
          </w:tcPr>
          <w:p>
            <w:pPr>
              <w:spacing w:after="0"/>
            </w:pPr>
            <w:r>
              <w:rPr>
                <w:sz w:val="24"/>
                <w:szCs w:val="24"/>
              </w:rPr>
              <w:t xml:space="preserve">«____» ______________ 20____ г.</w:t>
            </w:r>
          </w:p>
        </w:tc>
        <w:tc>
          <w:tcPr>
            <w:tcW w:type="dxa" w:w="4677"/>
            <w:tcMar>
              <w:left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sz w:val="24"/>
                <w:szCs w:val="24"/>
              </w:rPr>
              <w:t xml:space="preserve">№ ______________</w:t>
            </w:r>
          </w:p>
        </w:tc>
      </w:tr>
    </w:tbl>
    <w:p>
      <w:pPr>
        <w:spacing w:after="140"/>
      </w:pPr>
    </w:p>
    <w:p>
      <w:pPr>
        <w:spacing w:after="260"/>
        <w:jc w:val="center"/>
      </w:pPr>
      <w:r>
        <w:rPr>
          <w:sz w:val="24"/>
          <w:szCs w:val="24"/>
        </w:rPr>
        <w:t xml:space="preserve">[город]</w:t>
      </w:r>
    </w:p>
    <w:p>
      <w:pPr>
        <w:spacing w:after="0"/>
        <w:jc w:val="center"/>
      </w:pPr>
      <w:r>
        <w:rPr>
          <w:b/>
          <w:bCs/>
          <w:sz w:val="24"/>
          <w:szCs w:val="24"/>
        </w:rPr>
        <w:t xml:space="preserve">о техническом сбое при электронном взаимодействии</w:t>
      </w:r>
    </w:p>
    <w:p>
      <w:pPr>
        <w:spacing w:after="280"/>
        <w:jc w:val="center"/>
      </w:pPr>
      <w:r>
        <w:rPr>
          <w:b/>
          <w:bCs/>
          <w:sz w:val="24"/>
          <w:szCs w:val="24"/>
        </w:rPr>
        <w:t xml:space="preserve">с Социальным фондом России по системе СЭДО</w:t>
      </w:r>
    </w:p>
    <w:p>
      <w:pPr>
        <w:spacing w:after="120" w:line="276"/>
        <w:jc w:val="both"/>
      </w:pPr>
      <w:r>
        <w:rPr>
          <w:sz w:val="24"/>
          <w:szCs w:val="24"/>
        </w:rPr>
        <w:t xml:space="preserve">Комиссия в составе [должность, инициалы и фамилия председателя комиссии], [должность, инициалы и фамилия члена комиссии], [должность, инициалы и фамилия члена комиссии] составила настоящий акт о том, что при обмене сообщениями с Социальным фондом России по системе электронного документооборота СЭДО зафиксирован технический сбой, препятствовавший представлению сведений в установленный срок.</w:t>
      </w:r>
    </w:p>
    <w:p>
      <w:pPr>
        <w:keepNext/>
        <w:spacing w:after="100" w:before="220"/>
      </w:pPr>
      <w:r>
        <w:rPr>
          <w:b/>
          <w:bCs/>
          <w:sz w:val="24"/>
          <w:szCs w:val="24"/>
        </w:rPr>
        <w:t xml:space="preserve">1. Параметры сбоя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4116"/>
        <w:gridCol w:w="5238"/>
      </w:tblGrid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Дата и время начала сбоя (МСК)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Дата и время окончания сбоя (МСК)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Дата и время обнаружения сбоя (МСК)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Продолжительность сбоя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Номер проактивного процесса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Тип сообщения, которое отправлялось или ожидалось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Направление обмена (исходящее сообщение, получение входящего, получение протокола)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Идентификатор сообщения СЭДО, если известен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Застрахованное лицо (фамилия и инициалы, СНИЛС не указывается)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Событие, по которому шёл обмен (закрытый листок нетрудоспособности, пособие при рождении, пособие по уходу за ребёнком, иное)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Предельный срок представления сведений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Учётная программа и номер версии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Схема обмена (напрямую либо через оператора электронного документооборота)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11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Наименование оператора электронного документооборота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b/>
          <w:bCs/>
          <w:sz w:val="24"/>
          <w:szCs w:val="24"/>
        </w:rPr>
        <w:t xml:space="preserve">2. Дословный текст ошибки</w:t>
      </w:r>
    </w:p>
    <w:p>
      <w:pPr>
        <w:spacing w:after="160" w:before="40"/>
      </w:pPr>
      <w:r>
        <w:rPr>
          <w:i/>
          <w:iCs/>
          <w:sz w:val="20"/>
          <w:szCs w:val="20"/>
        </w:rPr>
        <w:t xml:space="preserve">Текст переносится из интерфейса программы или из протокола фонда без сокращений и без исправлений, вместе с кодом ошибки и номером процесса.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9354"/>
      </w:tblGrid>
      <w:tr>
        <w:trPr>
          <w:trHeight w:val="400" w:hRule="atLeast"/>
        </w:trPr>
        <w:tc>
          <w:tcPr>
            <w:tcW w:type="dxa" w:w="9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b/>
          <w:bCs/>
          <w:sz w:val="24"/>
          <w:szCs w:val="24"/>
        </w:rPr>
        <w:t xml:space="preserve">3. Слой отказа</w:t>
      </w:r>
    </w:p>
    <w:p>
      <w:pPr>
        <w:spacing w:after="160" w:before="40"/>
      </w:pPr>
      <w:r>
        <w:rPr>
          <w:i/>
          <w:iCs/>
          <w:sz w:val="20"/>
          <w:szCs w:val="20"/>
        </w:rPr>
        <w:t xml:space="preserve">Отметить один вариант. Слой определяет, в чьей зоне ответственности находится причина.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700"/>
        <w:gridCol w:w="8654"/>
      </w:tblGrid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86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Транспортный слой: соединение с сервером не установлено либо получен код состояния 403, 404, 500, 502, 503, 504, либо ошибка вида E_SEDO_xxxx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86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Логический контроль фонда: сообщение принято, но отклонено протоколом типа 10510 или 11210 с ошибкой вида ERR_PR_xxxx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86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Разбор сообщения учётной программой: сообщение получено, но программой не обработано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86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Сбой на стороне оператора электронного документооборота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86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Плановые работы либо объявленное отключение сервиса на стороне фонда</w:t>
            </w:r>
          </w:p>
        </w:tc>
      </w:tr>
    </w:tbl>
    <w:p>
      <w:pPr>
        <w:keepNext/>
        <w:spacing w:after="100" w:before="220"/>
      </w:pPr>
      <w:r>
        <w:rPr>
          <w:b/>
          <w:bCs/>
          <w:sz w:val="24"/>
          <w:szCs w:val="24"/>
        </w:rPr>
        <w:t xml:space="preserve">4. Что предпринято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700"/>
        <w:gridCol w:w="2200"/>
        <w:gridCol w:w="3929"/>
        <w:gridCol w:w="2525"/>
      </w:tblGrid>
      <w:tr>
        <w:trPr>
          <w:tblHeader/>
        </w:trPr>
        <w:tc>
          <w:tcPr>
            <w:tcW w:type="dxa" w:w="7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2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Дата и время</w:t>
            </w:r>
          </w:p>
        </w:tc>
        <w:tc>
          <w:tcPr>
            <w:tcW w:type="dxa" w:w="3929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Действие</w:t>
            </w:r>
          </w:p>
        </w:tc>
        <w:tc>
          <w:tcPr>
            <w:tcW w:type="dxa" w:w="2525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Результат</w:t>
            </w:r>
          </w:p>
        </w:tc>
      </w:tr>
      <w:tr>
        <w:trPr>
          <w:trHeight w:val="46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92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5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92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5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92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5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92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5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92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5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40"/>
      </w:pPr>
      <w:r>
        <w:rPr>
          <w:i/>
          <w:iCs/>
          <w:sz w:val="20"/>
          <w:szCs w:val="20"/>
        </w:rPr>
        <w:t xml:space="preserve">Фиксируются в том числе: повторная отправка, принудительная загрузка входящих сообщений за период, проверка регламентных заданий, проверка и замена сертификата, обновление версии программы, смена схемы обмена.</w:t>
      </w:r>
    </w:p>
    <w:p>
      <w:pPr>
        <w:keepNext/>
        <w:spacing w:after="100" w:before="220"/>
      </w:pPr>
      <w:r>
        <w:rPr>
          <w:b/>
          <w:bCs/>
          <w:sz w:val="24"/>
          <w:szCs w:val="24"/>
        </w:rPr>
        <w:t xml:space="preserve">5. Обращения по факту сбоя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2806"/>
        <w:gridCol w:w="1684"/>
        <w:gridCol w:w="2200"/>
        <w:gridCol w:w="2664"/>
      </w:tblGrid>
      <w:tr>
        <w:trPr>
          <w:tblHeader/>
        </w:trPr>
        <w:tc>
          <w:tcPr>
            <w:tcW w:type="dxa" w:w="2806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К кому обращались</w:t>
            </w:r>
          </w:p>
        </w:tc>
        <w:tc>
          <w:tcPr>
            <w:tcW w:type="dxa" w:w="168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Способ обращения</w:t>
            </w:r>
          </w:p>
        </w:tc>
        <w:tc>
          <w:tcPr>
            <w:tcW w:type="dxa" w:w="22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Дата и время</w:t>
            </w:r>
          </w:p>
        </w:tc>
        <w:tc>
          <w:tcPr>
            <w:tcW w:type="dxa" w:w="266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Результат, номер обращения</w:t>
            </w:r>
          </w:p>
        </w:tc>
      </w:tr>
      <w:tr>
        <w:trPr>
          <w:trHeight w:val="460" w:hRule="atLeast"/>
        </w:trPr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Оператор электронного документооборота</w:t>
            </w:r>
          </w:p>
        </w:tc>
        <w:tc>
          <w:tcPr>
            <w:tcW w:type="dxa" w:w="168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Техническая поддержка поставщика учётной программы</w:t>
            </w:r>
          </w:p>
        </w:tc>
        <w:tc>
          <w:tcPr>
            <w:tcW w:type="dxa" w:w="168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Территориальный орган СФР</w:t>
            </w:r>
          </w:p>
        </w:tc>
        <w:tc>
          <w:tcPr>
            <w:tcW w:type="dxa" w:w="168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b/>
          <w:bCs/>
          <w:sz w:val="24"/>
          <w:szCs w:val="24"/>
        </w:rPr>
        <w:t xml:space="preserve">6. Приложения к акту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700"/>
        <w:gridCol w:w="6454"/>
        <w:gridCol w:w="2200"/>
      </w:tblGrid>
      <w:tr>
        <w:trPr>
          <w:tblHeader/>
        </w:trPr>
        <w:tc>
          <w:tcPr>
            <w:tcW w:type="dxa" w:w="7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45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22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0"/>
                <w:szCs w:val="20"/>
              </w:rPr>
              <w:t xml:space="preserve">Листов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64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Снимки экрана с текстом ошибки и отображением системной даты и времени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64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Выгрузка из журнала регистрации учётной программы за период сбоя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64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Логи обмена данными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64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Письмо технической поддержки поставщика учётной программы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64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Уведомление оператора электронного документооборота о технических неполадках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64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Протокол фонда с текстом ошибки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□</w:t>
            </w:r>
          </w:p>
        </w:tc>
        <w:tc>
          <w:tcPr>
            <w:tcW w:type="dxa" w:w="64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>Иное: [указать]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b/>
          <w:bCs/>
          <w:sz w:val="24"/>
          <w:szCs w:val="24"/>
        </w:rPr>
        <w:t xml:space="preserve">7. Выводы комиссии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9354"/>
      </w:tblGrid>
      <w:tr>
        <w:trPr>
          <w:trHeight w:val="400" w:hRule="atLeast"/>
        </w:trPr>
        <w:tc>
          <w:tcPr>
            <w:tcW w:type="dxa" w:w="9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5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40"/>
      </w:pPr>
      <w:r>
        <w:rPr>
          <w:i/>
          <w:iCs/>
          <w:sz w:val="20"/>
          <w:szCs w:val="20"/>
        </w:rPr>
        <w:t xml:space="preserve">Указываются: причина сбоя, сторона, на которой он возник, влияние сбоя на соблюдение срока представления сведений, дата фактического представления сведений после устранения сбоя.</w:t>
      </w:r>
    </w:p>
    <w:p>
      <w:pPr>
        <w:spacing w:after="260"/>
      </w:pPr>
    </w:p>
    <w:p>
      <w:pPr>
        <w:spacing w:after="60"/>
      </w:pPr>
      <w:r>
        <w:rPr>
          <w:b/>
          <w:bCs/>
          <w:sz w:val="24"/>
          <w:szCs w:val="24"/>
        </w:rPr>
        <w:t xml:space="preserve">Председатель комиссии: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67"/>
        <w:gridCol w:w="2245"/>
        <w:gridCol w:w="3742"/>
      </w:tblGrid>
      <w:tr>
        <w:tc>
          <w:tcPr>
            <w:tcW w:type="dxa" w:w="3367"/>
            <w:tcMar>
              <w:top w:type="dxa" w:w="12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sz w:val="24"/>
                <w:szCs w:val="24"/>
              </w:rPr>
              <w:t xml:space="preserve">[наименование должности]</w:t>
            </w:r>
          </w:p>
        </w:tc>
        <w:tc>
          <w:tcPr>
            <w:tcW w:type="dxa" w:w="2245"/>
            <w:tcMar>
              <w:top w:type="dxa" w:w="12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</w:rPr>
              <w:t xml:space="preserve">______________</w:t>
            </w:r>
          </w:p>
        </w:tc>
        <w:tc>
          <w:tcPr>
            <w:tcW w:type="dxa" w:w="3742"/>
            <w:tcMar>
              <w:top w:type="dxa" w:w="12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sz w:val="24"/>
                <w:szCs w:val="24"/>
              </w:rPr>
              <w:t xml:space="preserve">[И.О. Фамилия]</w:t>
            </w:r>
          </w:p>
        </w:tc>
      </w:tr>
      <w:tr>
        <w:tc>
          <w:tcPr>
            <w:tcW w:type="dxa" w:w="3367"/>
            <w:tcMar>
              <w:left w:type="dxa" w:w="0"/>
              <w:right w:type="dxa" w:w="0"/>
            </w:tcMar>
          </w:tcPr>
          <w:p>
            <w:pPr>
              <w:spacing w:after="0"/>
            </w:pPr>
            <w:r>
              <w:rPr>
                <w:i/>
                <w:iCs/>
                <w:sz w:val="18"/>
                <w:szCs w:val="18"/>
              </w:rPr>
              <w:t xml:space="preserve">[наименование должности]</w:t>
            </w:r>
          </w:p>
        </w:tc>
        <w:tc>
          <w:tcPr>
            <w:tcW w:type="dxa" w:w="2245"/>
            <w:tcMar>
              <w:left w:type="dxa" w:w="0"/>
              <w:right w:type="dxa" w:w="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sz w:val="18"/>
                <w:szCs w:val="18"/>
              </w:rPr>
              <w:t xml:space="preserve">(подпись)</w:t>
            </w:r>
          </w:p>
        </w:tc>
        <w:tc>
          <w:tcPr>
            <w:tcW w:type="dxa" w:w="3742"/>
            <w:tcMar>
              <w:left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160"/>
      </w:pPr>
    </w:p>
    <w:p>
      <w:pPr>
        <w:spacing w:after="60"/>
      </w:pPr>
      <w:r>
        <w:rPr>
          <w:b/>
          <w:bCs/>
          <w:sz w:val="24"/>
          <w:szCs w:val="24"/>
        </w:rPr>
        <w:t xml:space="preserve">Члены комиссии: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67"/>
        <w:gridCol w:w="2245"/>
        <w:gridCol w:w="3742"/>
      </w:tblGrid>
      <w:tr>
        <w:tc>
          <w:tcPr>
            <w:tcW w:type="dxa" w:w="3367"/>
            <w:tcMar>
              <w:top w:type="dxa" w:w="12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sz w:val="24"/>
                <w:szCs w:val="24"/>
              </w:rPr>
              <w:t xml:space="preserve">[наименование должности]</w:t>
            </w:r>
          </w:p>
        </w:tc>
        <w:tc>
          <w:tcPr>
            <w:tcW w:type="dxa" w:w="2245"/>
            <w:tcMar>
              <w:top w:type="dxa" w:w="12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</w:rPr>
              <w:t xml:space="preserve">______________</w:t>
            </w:r>
          </w:p>
        </w:tc>
        <w:tc>
          <w:tcPr>
            <w:tcW w:type="dxa" w:w="3742"/>
            <w:tcMar>
              <w:top w:type="dxa" w:w="12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sz w:val="24"/>
                <w:szCs w:val="24"/>
              </w:rPr>
              <w:t xml:space="preserve">[И.О. Фамилия]</w:t>
            </w:r>
          </w:p>
        </w:tc>
      </w:tr>
      <w:tr>
        <w:tc>
          <w:tcPr>
            <w:tcW w:type="dxa" w:w="3367"/>
            <w:tcMar>
              <w:left w:type="dxa" w:w="0"/>
              <w:right w:type="dxa" w:w="0"/>
            </w:tcMar>
          </w:tcPr>
          <w:p>
            <w:pPr>
              <w:spacing w:after="0"/>
            </w:pPr>
            <w:r>
              <w:rPr>
                <w:i/>
                <w:iCs/>
                <w:sz w:val="18"/>
                <w:szCs w:val="18"/>
              </w:rPr>
              <w:t xml:space="preserve">[наименование должности]</w:t>
            </w:r>
          </w:p>
        </w:tc>
        <w:tc>
          <w:tcPr>
            <w:tcW w:type="dxa" w:w="2245"/>
            <w:tcMar>
              <w:left w:type="dxa" w:w="0"/>
              <w:right w:type="dxa" w:w="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sz w:val="18"/>
                <w:szCs w:val="18"/>
              </w:rPr>
              <w:t xml:space="preserve">(подпись)</w:t>
            </w:r>
          </w:p>
        </w:tc>
        <w:tc>
          <w:tcPr>
            <w:tcW w:type="dxa" w:w="3742"/>
            <w:tcMar>
              <w:left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80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67"/>
        <w:gridCol w:w="2245"/>
        <w:gridCol w:w="3742"/>
      </w:tblGrid>
      <w:tr>
        <w:tc>
          <w:tcPr>
            <w:tcW w:type="dxa" w:w="3367"/>
            <w:tcMar>
              <w:top w:type="dxa" w:w="12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sz w:val="24"/>
                <w:szCs w:val="24"/>
              </w:rPr>
              <w:t xml:space="preserve">[наименование должности]</w:t>
            </w:r>
          </w:p>
        </w:tc>
        <w:tc>
          <w:tcPr>
            <w:tcW w:type="dxa" w:w="2245"/>
            <w:tcMar>
              <w:top w:type="dxa" w:w="12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center"/>
            </w:pPr>
            <w:r>
              <w:rPr>
                <w:sz w:val="24"/>
                <w:szCs w:val="24"/>
              </w:rPr>
              <w:t xml:space="preserve">______________</w:t>
            </w:r>
          </w:p>
        </w:tc>
        <w:tc>
          <w:tcPr>
            <w:tcW w:type="dxa" w:w="3742"/>
            <w:tcMar>
              <w:top w:type="dxa" w:w="12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sz w:val="24"/>
                <w:szCs w:val="24"/>
              </w:rPr>
              <w:t xml:space="preserve">[И.О. Фамилия]</w:t>
            </w:r>
          </w:p>
        </w:tc>
      </w:tr>
      <w:tr>
        <w:tc>
          <w:tcPr>
            <w:tcW w:type="dxa" w:w="3367"/>
            <w:tcMar>
              <w:left w:type="dxa" w:w="0"/>
              <w:right w:type="dxa" w:w="0"/>
            </w:tcMar>
          </w:tcPr>
          <w:p>
            <w:pPr>
              <w:spacing w:after="0"/>
            </w:pPr>
            <w:r>
              <w:rPr>
                <w:i/>
                <w:iCs/>
                <w:sz w:val="18"/>
                <w:szCs w:val="18"/>
              </w:rPr>
              <w:t xml:space="preserve">[наименование должности]</w:t>
            </w:r>
          </w:p>
        </w:tc>
        <w:tc>
          <w:tcPr>
            <w:tcW w:type="dxa" w:w="2245"/>
            <w:tcMar>
              <w:left w:type="dxa" w:w="0"/>
              <w:right w:type="dxa" w:w="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sz w:val="18"/>
                <w:szCs w:val="18"/>
              </w:rPr>
              <w:t xml:space="preserve">(подпись)</w:t>
            </w:r>
          </w:p>
        </w:tc>
        <w:tc>
          <w:tcPr>
            <w:tcW w:type="dxa" w:w="3742"/>
            <w:tcMar>
              <w:left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320"/>
      </w:pPr>
    </w:p>
    <w:tbl>
      <w:tblPr>
        <w:tblW w:type="dxa" w:w="9354"/>
        <w:tblBorders>
          <w:top w:val="single" w:color="444444" w:sz="8"/>
          <w:left w:val="single" w:color="444444" w:sz="8"/>
          <w:bottom w:val="single" w:color="444444" w:sz="8"/>
          <w:right w:val="single" w:color="444444" w:sz="8"/>
          <w:insideH w:val="single" w:color="444444" w:sz="8"/>
          <w:insideV w:val="single" w:color="444444" w:sz="8"/>
        </w:tblBorders>
      </w:tblPr>
      <w:tblGrid>
        <w:gridCol w:w="9354"/>
      </w:tblGrid>
      <w:tr>
        <w:tc>
          <w:tcPr>
            <w:tcW w:type="dxa" w:w="9354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40"/>
            </w:pPr>
            <w:r>
              <w:rPr>
                <w:b/>
                <w:bCs/>
                <w:sz w:val="24"/>
                <w:szCs w:val="24"/>
              </w:rPr>
              <w:t xml:space="preserve">Зачем нужен акт и как он работает в споре о штрафе</w:t>
            </w:r>
          </w:p>
          <w:p>
            <w:pPr>
              <w:spacing w:after="120" w:line="264"/>
              <w:jc w:val="both"/>
            </w:pPr>
            <w:r>
              <w:rPr>
                <w:sz w:val="22"/>
                <w:szCs w:val="22"/>
              </w:rPr>
              <w:t xml:space="preserve">Просрочка представления сведений, необходимых для назначения и выплаты пособия, влечёт штраф 5 000 рублей по части 3 статьи 15.2 Федерального закона от 29.12.2006 № 255-ФЗ, а для должностного лица - административный штраф от 300 до 500 рублей по части 4 статьи 15.33 КоАП РФ. Акт нужен для того, чтобы показать: срок нарушен не по вине работодателя.</w:t>
            </w:r>
          </w:p>
          <w:p>
            <w:pPr>
              <w:spacing w:after="120" w:line="264"/>
              <w:jc w:val="both"/>
            </w:pPr>
            <w:r>
              <w:rPr>
                <w:sz w:val="22"/>
                <w:szCs w:val="22"/>
              </w:rPr>
              <w:t xml:space="preserve">Исход спора определяет сторона сбоя. При сбое на оборудовании фонда штраф отменяют полностью: так решил Арбитражный суд Московского округа постановлением от 22.02.2024 по делу № А40-175408/2023, когда сведения были направлены в срок, а фонд не принял их из-за ошибки в сертификате шифрования на своей стороне. При сбое в системе самого страхователя штраф оставляют в силе (постановление Арбитражного суда Северо-Западного округа от 18.03.2024 № Ф07-1747/2024), но учитывают как смягчающее обстоятельство: Арбитражный суд Западно-Сибирского округа постановлением от 30.01.2025 № Ф04-5727/24 снизил штраф с 300 000 до 20 000 рублей.</w:t>
            </w:r>
          </w:p>
          <w:p>
            <w:pPr>
              <w:spacing w:after="120" w:line="264"/>
              <w:jc w:val="both"/>
            </w:pPr>
            <w:r>
              <w:rPr>
                <w:sz w:val="22"/>
                <w:szCs w:val="22"/>
              </w:rPr>
              <w:t xml:space="preserve">Суды принимают в качестве доказательств уведомления операторов электронного документооборота, снимки экрана с текстом ошибки, письма о технических неполадках и логи обмена данными. Все они собираются в момент сбоя: восстановить снимок экрана и лог задним числом, когда фонд уже вынес решение о штрафе, невозможно.</w:t>
            </w:r>
          </w:p>
          <w:p>
            <w:pPr>
              <w:spacing w:after="120" w:line="264"/>
              <w:jc w:val="both"/>
            </w:pPr>
            <w:r>
              <w:rPr>
                <w:sz w:val="22"/>
                <w:szCs w:val="22"/>
              </w:rPr>
              <w:t xml:space="preserve">Сроки, которые акт защищает: 3 рабочих дня на ответ на запрос фонда для расчёта пособия и на передачу сведений по закрытому листку нетрудоспособности; 2 рабочих дня по единовременному пособию при рождении ребёнка и по информации о районном коэффициенте; 3 рабочих дня на подтверждение получения извещения и 5 рабочих дней на ответ по существу извещения. Отдельно контролируется месячный срок: если ответ на запрос недостающих сведений не направлен в течение одного календарного месяца с даты направления запроса, проактивный процесс закрывается, и восстановить его можно только новым сообщением типа 10910.</w:t>
            </w:r>
          </w:p>
          <w:p>
            <w:pPr>
              <w:spacing w:after="0" w:line="264"/>
              <w:jc w:val="both"/>
            </w:pPr>
            <w:r>
              <w:rPr>
                <w:sz w:val="22"/>
                <w:szCs w:val="22"/>
              </w:rPr>
              <w:t xml:space="preserve">При наличии смягчающих обстоятельств размер штрафа снижается не менее чем в два раза. Минтруд России в письме от 04.03.2026 № 17-1/ООГ-117 подтвердил, что законодательство допускает признание обстоятельств, исключающих вину работодателя.</w:t>
            </w:r>
          </w:p>
        </w:tc>
      </w:tr>
    </w:tbl>
    <w:p>
      <w:pPr>
        <w:spacing w:after="0" w:before="240"/>
      </w:pPr>
    </w:p>
    <w:p>
      <w:pPr>
        <w:pBdr>
          <w:top w:val="single" w:color="999999" w:sz="4" w:space="6"/>
        </w:pBdr>
        <w:spacing w:after="0" w:before="120"/>
      </w:pPr>
      <w:r>
        <w:rPr>
          <w:i/>
          <w:iCs/>
          <w:sz w:val="20"/>
          <w:szCs w:val="20"/>
        </w:rPr>
        <w:t xml:space="preserve">Форма подготовлена по состоянию на 23 сентября 2026 года. Проверьте актуальность норм перед применением.</w:t>
      </w:r>
    </w:p>
    <w:sectPr>
      <w:footerReference w:type="default" r:id="rId7"/>
      <w:footerReference w:type="first" r:id="rId9"/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hAnsi="Times New Roman"/>
        <w:sz w:val="16"/>
      </w:rPr>
      <w:t>Материал подготовлен сервисом КЭДО Добыто, dobyto.ru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Материал подготовлен сервисом КЭДО Добыто, dobyto.ru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64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280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120" w:before="22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100" w:before="180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техническом сбое при электронном взаимодействии с СФР</dc:title>
  <dc:creator>dobyto.ru</dc:creator>
  <dc:description>Рабочая форма для доказательной базы</dc:description>
  <cp:lastModifiedBy>Un-named</cp:lastModifiedBy>
  <cp:revision>1</cp:revision>
  <dcterms:created xsi:type="dcterms:W3CDTF">2026-09-23T09:09:40.238Z</dcterms:created>
  <dcterms:modified xsi:type="dcterms:W3CDTF">2026-09-23T09:09:40.239Z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