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Как пользоваться шаблоном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20"/>
          <w:szCs w:val="20"/>
        </w:rPr>
        <w:t xml:space="preserve">Синим цветом отмечены поля, которые заполняет работодатель. Серым курсивом — пояснения, их из готового документа удаляйте. Формулировки, отмеченные как варианты, выбираются под конкретную ситуацию.</w:t>
      </w:r>
    </w:p>
    <w:p>
      <w:pPr>
        <w:pBdr>
          <w:bottom w:val="single" w:color="BBBBBB" w:sz="6"/>
        </w:pBdr>
        <w:spacing w:after="240"/>
      </w:pPr>
    </w:p>
    <w:p>
      <w:pPr>
        <w:spacing w:after="2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УТВЕРЖДЕНО</w:t>
      </w:r>
    </w:p>
    <w:p>
      <w:pPr>
        <w:spacing w:after="2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CC"/>
          <w:sz w:val="22"/>
          <w:szCs w:val="22"/>
        </w:rPr>
        <w:t xml:space="preserve">приказом ООО «____________»</w:t>
      </w:r>
    </w:p>
    <w:p>
      <w:pPr>
        <w:spacing w:after="30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CC"/>
          <w:sz w:val="22"/>
          <w:szCs w:val="22"/>
        </w:rPr>
        <w:t xml:space="preserve">от «__» ________ 2026 г. № ____</w:t>
      </w:r>
    </w:p>
    <w:p>
      <w:pPr>
        <w:spacing w:after="24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ПОЛОЖЕНИЕ О СЛУЖЕБНЫХ КОМАНДИРОВКАХ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1. Общие положения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Положение определяет порядок направления работников в служебные командировки, состав оформляемых документов, размеры и порядок возмещения расходов.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Положение разработано в соответствии со статьями 166–168 ТК РФ и Положением об особенностях направления работников в служебные командировки, утверждённым Постановлением Правительства РФ от 16.04.2025 № 501, применяемым с 01.09.2025.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Служебная командировка — поездка работника по распоряжению работодателя на определённый срок для выполнения служебного поручения вне места постоянной работы. Поездки работника, чья постоянная работа осуществляется в пути или имеет разъездной характер, командировками не признаются.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Направление в командировку дистанционного работника оформляется в общем порядке. Местом постоянной работы для него считается место выполнения трудовой функции, указанное в трудовом договоре.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2. Порядок оформления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Основанием для командировки служит служебная записка руководителя структурного подразделения с указанием цели, места, срока и предполагаемых расходов.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На основании служебной записки кадровая служба готовит приказ о направлении в командировку. Срок командировки определяется работодателем с учётом объёма служебного поручения и включает дни следования к месту командировки и обратно.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Работник ознакамливается с приказом до даты выезда.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Фактический срок пребывания подтверждается проездными документами. При поездке на служебном или личном транспорте — служебной запиской работника с приложением путевого листа, маршрутного листа, чеков на топливо и иных подтверждающих документов.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Командировки, выходные и нерабочие праздничные дни в командировке отражаются в табеле учёта рабочего времени. Работа в выходной день в командировке оплачивается по правилам статьи 153 ТК РФ либо компенсируется днём отдыха.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3. Ведение командировочных документов в электронном виде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Командировочные документы оформляются и подписываются в электронном виде в системе кадрового электронного документооборота, если в организации введён КЭДО в порядке статей 22.1–22.3 ТК РФ.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Виды электронной подписи для каждого документа определены в таблице: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3000"/>
        <w:gridCol w:w="3500"/>
      </w:tblGrid>
      <w:tr>
        <w:trPr>
          <w:tblHeader/>
        </w:trPr>
        <w:tc>
          <w:tcPr>
            <w:tcW w:type="dxa" w:w="30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Документ</w:t>
            </w:r>
          </w:p>
        </w:tc>
        <w:tc>
          <w:tcPr>
            <w:tcW w:type="dxa" w:w="30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Подпись работодателя</w:t>
            </w:r>
          </w:p>
        </w:tc>
        <w:tc>
          <w:tcPr>
            <w:tcW w:type="dxa" w:w="35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Подпись работника</w:t>
            </w:r>
          </w:p>
        </w:tc>
      </w:tr>
      <w:tr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Приказ о направлении в командировку</w:t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УКЭП или УНЭП</w:t>
            </w:r>
          </w:p>
        </w:tc>
        <w:tc>
          <w:tcPr>
            <w:tcW w:type="dxa" w:w="3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ПЭП (ознакомление)</w:t>
            </w:r>
          </w:p>
        </w:tc>
      </w:tr>
      <w:tr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Служебная записка на командировку</w:t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—</w:t>
            </w:r>
          </w:p>
        </w:tc>
        <w:tc>
          <w:tcPr>
            <w:tcW w:type="dxa" w:w="3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ПЭП или УНЭП</w:t>
            </w:r>
          </w:p>
        </w:tc>
      </w:tr>
      <w:tr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Согласие на направление в командировку</w:t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—</w:t>
            </w:r>
          </w:p>
        </w:tc>
        <w:tc>
          <w:tcPr>
            <w:tcW w:type="dxa" w:w="3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УНЭП или УКЭП</w:t>
            </w:r>
          </w:p>
        </w:tc>
      </w:tr>
      <w:tr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Уведомление о праве отказаться</w:t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УКЭП или УНЭП</w:t>
            </w:r>
          </w:p>
        </w:tc>
        <w:tc>
          <w:tcPr>
            <w:tcW w:type="dxa" w:w="3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ПЭП (ознакомление)</w:t>
            </w:r>
          </w:p>
        </w:tc>
      </w:tr>
      <w:tr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Авансовый отчёт</w:t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УКЭП или УНЭП</w:t>
            </w:r>
          </w:p>
        </w:tc>
        <w:tc>
          <w:tcPr>
            <w:tcW w:type="dxa" w:w="3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УНЭП или ПЭП по соглашению</w:t>
            </w:r>
          </w:p>
        </w:tc>
      </w:tr>
      <w:tr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Отчёт о выполнении задания</w:t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—</w:t>
            </w:r>
          </w:p>
        </w:tc>
        <w:tc>
          <w:tcPr>
            <w:tcW w:type="dxa" w:w="3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ПЭП или УНЭП</w:t>
            </w:r>
          </w:p>
        </w:tc>
      </w:tr>
    </w:tbl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20"/>
          <w:szCs w:val="20"/>
        </w:rPr>
        <w:t xml:space="preserve">Таблицу приведите в соответствие с вашим ЛНА о ЭДО и соглашением о применении ПЭП. Конкретные виды подписи проверьте по статьям 22.2 и 22.3 ТК РФ — для части документов закон допускает только УКЭП или УНЭП.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Документы, которые в силу закона не переводятся в электронный вид, оформляются на бумаге. К ним относятся, в частности, акт о несчастном случае на производстве и приказ об увольнении в случаях, установленных законом.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4. Возмещение расходов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Работнику возмещаются расходы на проезд, наём жилого помещения, дополнительные расходы, связанные с проживанием (суточные), и иные расходы, произведённые с разрешения работодателя.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Размеры суточных устанавливаются приказом организации. Суммы, превышающие лимиты, установленные Налоговым кодексом РФ, облагаются НДФЛ и страховыми взносами в части превышения.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Аванс выдаётся не позднее чем за один рабочий день до даты выезда путём перечисления на счёт работника.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5. Авансовый отчёт и сроки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Авансовый отчёт представляется в течение 3 рабочих дней со дня возвращения из командировки. Если день возвращения приходится на выходной или нерабочий праздничный день, срок исчисляется со дня выхода работника на работу.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К авансовому отчёту прилагаются проездные документы, документы о найме жилья, электронные билеты и посадочные талоны, чеки и иные документы, подтверждающие расходы.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Электронный билет и посадочный талон в электронной форме признаются подтверждающими документами. Требование бумажного оригинала предъявляется только в случаях, установленных законом или учётной политикой организации.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Неизрасходованный аванс возвращается работником в кассу или перечислением на счёт организации.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6. Сроки хранения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Сроки хранения командировочных документов определяются перечнем Росархива и составляют 5 лет для приказов по краткосрочным командировкам в пределах Российской Федерации, 50 лет для документов, созданных после 01.01.2003, по командировкам, связанным с вредными и опасными условиями труда, и 75 лет для документов, созданных до 01.01.2003.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Электронные командировочные документы хранятся вместе с электронными подписями и метками времени, обеспечивающими проверку подписи на протяжении всего срока хранения.</w:t>
      </w:r>
    </w:p>
    <w:p>
      <w:pPr>
        <w:spacing w:after="24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pBdr>
          <w:top w:val="single" w:color="BBBBBB" w:sz="6"/>
        </w:pBdr>
        <w:spacing w:after="120"/>
      </w:pPr>
    </w:p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Что заполнить перед утверждением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Размер суточных по России и по каждой стране — отдельным приложением или приказом.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Лимиты на проживание и класс проезда по категориям должностей.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Таблицу видов подписи — сверить с ЛНА о ЭДО, иначе при проверке ГИТ будут два документа с разными правилами.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Порядок оформления поездок на личном транспорте, если он в организации применяется.</w:t>
      </w:r>
    </w:p>
    <w:p>
      <w:pPr>
        <w:spacing w:after="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18"/>
          <w:szCs w:val="18"/>
        </w:rPr>
        <w:t xml:space="preserve">Шаблон подготовлен сервисом Добыто. Проверьте актуальность Постановления Правительства РФ № 501 и перечня Росархива на дату утверждения.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700" w:hanging="260"/>
      </w:pPr>
      <w:rPr>
        <w:rFonts w:ascii="Times New Roman" w:cs="Times New Roman" w:eastAsia="Times New Roman" w:hAnsi="Times New Roman"/>
        <w:sz w:val="24"/>
        <w:szCs w:val="24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00" w:hanging="360"/>
      </w:pPr>
      <w:rPr>
        <w:rFonts w:ascii="Times New Roman" w:cs="Times New Roman" w:eastAsia="Times New Roman" w:hAnsi="Times New Roman"/>
        <w:sz w:val="24"/>
        <w:szCs w:val="24"/>
      </w:r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2026-08-10T14:53:46.983Z</dcterms:created>
  <dcterms:modified xsi:type="dcterms:W3CDTF">2026-08-10T14:53:46.983Z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