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E3A8A"/>
          <w:sz w:val="34"/>
          <w:szCs w:val="34"/>
        </w:rPr>
        <w:t xml:space="preserve">Чек-лист самопроверки перед проверкой СБ банка</w:t>
      </w:r>
    </w:p>
    <w:p>
      <w:pPr>
        <w:spacing w:after="240"/>
      </w:pPr>
      <w:r>
        <w:rPr>
          <w:i/>
          <w:iCs/>
          <w:color w:val="475569"/>
          <w:sz w:val="20"/>
          <w:szCs w:val="20"/>
        </w:rPr>
        <w:t xml:space="preserve">Пройдитесь по пунктам до собеседования — увидите себя глазами службы безопасности и подготовите объяснения к спорным моментам заранее.</w:t>
      </w:r>
    </w:p>
    <w:tbl>
      <w:tblPr>
        <w:tblW w:type="dxa" w:w="9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200"/>
        <w:gridCol w:w="3800"/>
      </w:tblGrid>
      <w:tr>
        <w:trPr>
          <w:tblHeader/>
        </w:trPr>
        <w:tc>
          <w:tcPr>
            <w:tcW w:type="dxa" w:w="700"/>
            <w:shd w:fill="1D4ED8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  <w:tc>
          <w:tcPr>
            <w:tcW w:type="dxa" w:w="5200"/>
            <w:shd w:fill="1D4ED8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Что проверить</w:t>
            </w:r>
          </w:p>
        </w:tc>
        <w:tc>
          <w:tcPr>
            <w:tcW w:type="dxa" w:w="3800"/>
            <w:shd w:fill="1D4ED8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Где / источник</w:t>
            </w:r>
          </w:p>
        </w:tc>
      </w:tr>
      <w:tr>
        <w:tc>
          <w:tcPr>
            <w:tcW w:type="dxa" w:w="700"/>
            <w:vAlign w:val="center"/>
          </w:tcPr>
          <w:p>
            <w:pPr>
              <w:jc w:val="center"/>
            </w:pPr>
            <w:r>
              <w:rPr>
                <w:color w:val="1D4ED8"/>
                <w:sz w:val="30"/>
                <w:szCs w:val="30"/>
              </w:rPr>
              <w:t xml:space="preserve">☐</w:t>
            </w:r>
          </w:p>
        </w:tc>
        <w:tc>
          <w:tcPr>
            <w:tcW w:type="dxa" w:w="5200"/>
          </w:tcPr>
          <w:p>
            <w:r>
              <w:rPr>
                <w:sz w:val="20"/>
                <w:szCs w:val="20"/>
              </w:rPr>
              <w:t xml:space="preserve">Справка об отсутствии судимости</w:t>
            </w:r>
          </w:p>
        </w:tc>
        <w:tc>
          <w:tcPr>
            <w:tcW w:type="dxa" w:w="3800"/>
          </w:tcPr>
          <w:p>
            <w:r>
              <w:rPr>
                <w:color w:val="475569"/>
                <w:sz w:val="18"/>
                <w:szCs w:val="18"/>
              </w:rPr>
              <w:t xml:space="preserve">Госуслуги / портал МВД, готовится несколько дней</w:t>
            </w:r>
          </w:p>
        </w:tc>
      </w:tr>
      <w:tr>
        <w:tc>
          <w:tcPr>
            <w:tcW w:type="dxa" w:w="700"/>
            <w:vAlign w:val="center"/>
          </w:tcPr>
          <w:p>
            <w:pPr>
              <w:jc w:val="center"/>
            </w:pPr>
            <w:r>
              <w:rPr>
                <w:color w:val="1D4ED8"/>
                <w:sz w:val="30"/>
                <w:szCs w:val="30"/>
              </w:rPr>
              <w:t xml:space="preserve">☐</w:t>
            </w:r>
          </w:p>
        </w:tc>
        <w:tc>
          <w:tcPr>
            <w:tcW w:type="dxa" w:w="5200"/>
          </w:tcPr>
          <w:p>
            <w:r>
              <w:rPr>
                <w:sz w:val="20"/>
                <w:szCs w:val="20"/>
              </w:rPr>
              <w:t xml:space="preserve">Исполнительные производства и долги</w:t>
            </w:r>
          </w:p>
        </w:tc>
        <w:tc>
          <w:tcPr>
            <w:tcW w:type="dxa" w:w="3800"/>
          </w:tcPr>
          <w:p>
            <w:r>
              <w:rPr>
                <w:color w:val="475569"/>
                <w:sz w:val="18"/>
                <w:szCs w:val="18"/>
              </w:rPr>
              <w:t xml:space="preserve">Банк данных ФССП (fssp.gov.ru)</w:t>
            </w:r>
          </w:p>
        </w:tc>
      </w:tr>
      <w:tr>
        <w:tc>
          <w:tcPr>
            <w:tcW w:type="dxa" w:w="700"/>
            <w:vAlign w:val="center"/>
          </w:tcPr>
          <w:p>
            <w:pPr>
              <w:jc w:val="center"/>
            </w:pPr>
            <w:r>
              <w:rPr>
                <w:color w:val="1D4ED8"/>
                <w:sz w:val="30"/>
                <w:szCs w:val="30"/>
              </w:rPr>
              <w:t xml:space="preserve">☐</w:t>
            </w:r>
          </w:p>
        </w:tc>
        <w:tc>
          <w:tcPr>
            <w:tcW w:type="dxa" w:w="5200"/>
          </w:tcPr>
          <w:p>
            <w:r>
              <w:rPr>
                <w:sz w:val="20"/>
                <w:szCs w:val="20"/>
              </w:rPr>
              <w:t xml:space="preserve">Налоговые задолженности</w:t>
            </w:r>
          </w:p>
        </w:tc>
        <w:tc>
          <w:tcPr>
            <w:tcW w:type="dxa" w:w="3800"/>
          </w:tcPr>
          <w:p>
            <w:r>
              <w:rPr>
                <w:color w:val="475569"/>
                <w:sz w:val="18"/>
                <w:szCs w:val="18"/>
              </w:rPr>
              <w:t xml:space="preserve">Личный кабинет ФНС (nalog.gov.ru)</w:t>
            </w:r>
          </w:p>
        </w:tc>
      </w:tr>
      <w:tr>
        <w:tc>
          <w:tcPr>
            <w:tcW w:type="dxa" w:w="700"/>
            <w:vAlign w:val="center"/>
          </w:tcPr>
          <w:p>
            <w:pPr>
              <w:jc w:val="center"/>
            </w:pPr>
            <w:r>
              <w:rPr>
                <w:color w:val="1D4ED8"/>
                <w:sz w:val="30"/>
                <w:szCs w:val="30"/>
              </w:rPr>
              <w:t xml:space="preserve">☐</w:t>
            </w:r>
          </w:p>
        </w:tc>
        <w:tc>
          <w:tcPr>
            <w:tcW w:type="dxa" w:w="5200"/>
          </w:tcPr>
          <w:p>
            <w:r>
              <w:rPr>
                <w:sz w:val="20"/>
                <w:szCs w:val="20"/>
              </w:rPr>
              <w:t xml:space="preserve">Кредитная история</w:t>
            </w:r>
          </w:p>
        </w:tc>
        <w:tc>
          <w:tcPr>
            <w:tcW w:type="dxa" w:w="3800"/>
          </w:tcPr>
          <w:p>
            <w:r>
              <w:rPr>
                <w:color w:val="475569"/>
                <w:sz w:val="18"/>
                <w:szCs w:val="18"/>
              </w:rPr>
              <w:t xml:space="preserve">Бюро кредитных историй, дважды в год бесплатно</w:t>
            </w:r>
          </w:p>
        </w:tc>
      </w:tr>
      <w:tr>
        <w:tc>
          <w:tcPr>
            <w:tcW w:type="dxa" w:w="700"/>
            <w:vAlign w:val="center"/>
          </w:tcPr>
          <w:p>
            <w:pPr>
              <w:jc w:val="center"/>
            </w:pPr>
            <w:r>
              <w:rPr>
                <w:color w:val="1D4ED8"/>
                <w:sz w:val="30"/>
                <w:szCs w:val="30"/>
              </w:rPr>
              <w:t xml:space="preserve">☐</w:t>
            </w:r>
          </w:p>
        </w:tc>
        <w:tc>
          <w:tcPr>
            <w:tcW w:type="dxa" w:w="5200"/>
          </w:tcPr>
          <w:p>
            <w:r>
              <w:rPr>
                <w:sz w:val="20"/>
                <w:szCs w:val="20"/>
              </w:rPr>
              <w:t xml:space="preserve">Штрафы ГИБДД и действительность прав</w:t>
            </w:r>
          </w:p>
        </w:tc>
        <w:tc>
          <w:tcPr>
            <w:tcW w:type="dxa" w:w="3800"/>
          </w:tcPr>
          <w:p>
            <w:r>
              <w:rPr>
                <w:color w:val="475569"/>
                <w:sz w:val="18"/>
                <w:szCs w:val="18"/>
              </w:rPr>
              <w:t xml:space="preserve">Госуслуги / база ГИБДД</w:t>
            </w:r>
          </w:p>
        </w:tc>
      </w:tr>
      <w:tr>
        <w:tc>
          <w:tcPr>
            <w:tcW w:type="dxa" w:w="700"/>
            <w:vAlign w:val="center"/>
          </w:tcPr>
          <w:p>
            <w:pPr>
              <w:jc w:val="center"/>
            </w:pPr>
            <w:r>
              <w:rPr>
                <w:color w:val="1D4ED8"/>
                <w:sz w:val="30"/>
                <w:szCs w:val="30"/>
              </w:rPr>
              <w:t xml:space="preserve">☐</w:t>
            </w:r>
          </w:p>
        </w:tc>
        <w:tc>
          <w:tcPr>
            <w:tcW w:type="dxa" w:w="5200"/>
          </w:tcPr>
          <w:p>
            <w:r>
              <w:rPr>
                <w:sz w:val="20"/>
                <w:szCs w:val="20"/>
              </w:rPr>
              <w:t xml:space="preserve">Действительность паспорта</w:t>
            </w:r>
          </w:p>
        </w:tc>
        <w:tc>
          <w:tcPr>
            <w:tcW w:type="dxa" w:w="3800"/>
          </w:tcPr>
          <w:p>
            <w:r>
              <w:rPr>
                <w:color w:val="475569"/>
                <w:sz w:val="18"/>
                <w:szCs w:val="18"/>
              </w:rPr>
              <w:t xml:space="preserve">Сервис проверки паспортов МВД</w:t>
            </w:r>
          </w:p>
        </w:tc>
      </w:tr>
      <w:tr>
        <w:tc>
          <w:tcPr>
            <w:tcW w:type="dxa" w:w="700"/>
            <w:vAlign w:val="center"/>
          </w:tcPr>
          <w:p>
            <w:pPr>
              <w:jc w:val="center"/>
            </w:pPr>
            <w:r>
              <w:rPr>
                <w:color w:val="1D4ED8"/>
                <w:sz w:val="30"/>
                <w:szCs w:val="30"/>
              </w:rPr>
              <w:t xml:space="preserve">☐</w:t>
            </w:r>
          </w:p>
        </w:tc>
        <w:tc>
          <w:tcPr>
            <w:tcW w:type="dxa" w:w="5200"/>
          </w:tcPr>
          <w:p>
            <w:r>
              <w:rPr>
                <w:sz w:val="20"/>
                <w:szCs w:val="20"/>
              </w:rPr>
              <w:t xml:space="preserve">Аффилированность и участие в юрлицах</w:t>
            </w:r>
          </w:p>
        </w:tc>
        <w:tc>
          <w:tcPr>
            <w:tcW w:type="dxa" w:w="3800"/>
          </w:tcPr>
          <w:p>
            <w:r>
              <w:rPr>
                <w:color w:val="475569"/>
                <w:sz w:val="18"/>
                <w:szCs w:val="18"/>
              </w:rPr>
              <w:t xml:space="preserve">Реестры ФНС (ЕГРЮЛ/ЕГРИП), выписка</w:t>
            </w:r>
          </w:p>
        </w:tc>
      </w:tr>
      <w:tr>
        <w:tc>
          <w:tcPr>
            <w:tcW w:type="dxa" w:w="700"/>
            <w:vAlign w:val="center"/>
          </w:tcPr>
          <w:p>
            <w:pPr>
              <w:jc w:val="center"/>
            </w:pPr>
            <w:r>
              <w:rPr>
                <w:color w:val="1D4ED8"/>
                <w:sz w:val="30"/>
                <w:szCs w:val="30"/>
              </w:rPr>
              <w:t xml:space="preserve">☐</w:t>
            </w:r>
          </w:p>
        </w:tc>
        <w:tc>
          <w:tcPr>
            <w:tcW w:type="dxa" w:w="5200"/>
          </w:tcPr>
          <w:p>
            <w:r>
              <w:rPr>
                <w:sz w:val="20"/>
                <w:szCs w:val="20"/>
              </w:rPr>
              <w:t xml:space="preserve">Ревизия соцсетей</w:t>
            </w:r>
          </w:p>
        </w:tc>
        <w:tc>
          <w:tcPr>
            <w:tcW w:type="dxa" w:w="3800"/>
          </w:tcPr>
          <w:p>
            <w:r>
              <w:rPr>
                <w:color w:val="475569"/>
                <w:sz w:val="18"/>
                <w:szCs w:val="18"/>
              </w:rPr>
              <w:t xml:space="preserve">Просмотреть старые посты глазами постороннего</w:t>
            </w:r>
          </w:p>
        </w:tc>
      </w:tr>
      <w:tr>
        <w:tc>
          <w:tcPr>
            <w:tcW w:type="dxa" w:w="700"/>
            <w:vAlign w:val="center"/>
          </w:tcPr>
          <w:p>
            <w:pPr>
              <w:jc w:val="center"/>
            </w:pPr>
            <w:r>
              <w:rPr>
                <w:color w:val="1D4ED8"/>
                <w:sz w:val="30"/>
                <w:szCs w:val="30"/>
              </w:rPr>
              <w:t xml:space="preserve">☐</w:t>
            </w:r>
          </w:p>
        </w:tc>
        <w:tc>
          <w:tcPr>
            <w:tcW w:type="dxa" w:w="5200"/>
          </w:tcPr>
          <w:p>
            <w:r>
              <w:rPr>
                <w:sz w:val="20"/>
                <w:szCs w:val="20"/>
              </w:rPr>
              <w:t xml:space="preserve">Сверка резюме с трудовой книжкой</w:t>
            </w:r>
          </w:p>
        </w:tc>
        <w:tc>
          <w:tcPr>
            <w:tcW w:type="dxa" w:w="3800"/>
          </w:tcPr>
          <w:p>
            <w:r>
              <w:rPr>
                <w:color w:val="475569"/>
                <w:sz w:val="18"/>
                <w:szCs w:val="18"/>
              </w:rPr>
              <w:t xml:space="preserve">Убрать расхождения по срокам и должностям</w:t>
            </w:r>
          </w:p>
        </w:tc>
      </w:tr>
      <w:tr>
        <w:tc>
          <w:tcPr>
            <w:tcW w:type="dxa" w:w="700"/>
            <w:vAlign w:val="center"/>
          </w:tcPr>
          <w:p>
            <w:pPr>
              <w:jc w:val="center"/>
            </w:pPr>
            <w:r>
              <w:rPr>
                <w:color w:val="1D4ED8"/>
                <w:sz w:val="30"/>
                <w:szCs w:val="30"/>
              </w:rPr>
              <w:t xml:space="preserve">☐</w:t>
            </w:r>
          </w:p>
        </w:tc>
        <w:tc>
          <w:tcPr>
            <w:tcW w:type="dxa" w:w="5200"/>
          </w:tcPr>
          <w:p>
            <w:r>
              <w:rPr>
                <w:sz w:val="20"/>
                <w:szCs w:val="20"/>
              </w:rPr>
              <w:t xml:space="preserve">Ложные совпадения по однофамильцам</w:t>
            </w:r>
          </w:p>
        </w:tc>
        <w:tc>
          <w:tcPr>
            <w:tcW w:type="dxa" w:w="3800"/>
          </w:tcPr>
          <w:p>
            <w:r>
              <w:rPr>
                <w:color w:val="475569"/>
                <w:sz w:val="18"/>
                <w:szCs w:val="18"/>
              </w:rPr>
              <w:t xml:space="preserve">Проверить, не приписаны ли чужие долги / штрафы</w:t>
            </w:r>
          </w:p>
        </w:tc>
      </w:tr>
    </w:tbl>
    <w:p>
      <w:pPr>
        <w:spacing w:before="240"/>
      </w:pPr>
    </w:p>
    <w:p>
      <w:pPr>
        <w:spacing w:after="100" w:before="240"/>
      </w:pPr>
      <w:r>
        <w:rPr>
          <w:b/>
          <w:bCs/>
          <w:color w:val="1D4ED8"/>
          <w:sz w:val="24"/>
          <w:szCs w:val="24"/>
        </w:rPr>
        <w:t xml:space="preserve">Если нашли проблему</w:t>
      </w:r>
    </w:p>
    <w:p>
      <w:pPr>
        <w:spacing w:after="100"/>
      </w:pPr>
      <w:r>
        <w:rPr>
          <w:b w:val="false"/>
          <w:bCs w:val="false"/>
          <w:color w:val="222222"/>
          <w:sz w:val="20"/>
          <w:szCs w:val="20"/>
        </w:rPr>
        <w:t xml:space="preserve">Не скрывайте её в анкете. Подготовьте короткое письменное пояснение (шаблон пояснительной записки в СБ) и передайте через HR. Признанный факт с объяснением почти всегда воспринимается мягче, чем скрытый и всплывший при проверке.</w:t>
      </w:r>
    </w:p>
    <w:p>
      <w:pPr>
        <w:spacing w:after="100"/>
      </w:pPr>
      <w:r>
        <w:rPr>
          <w:b w:val="false"/>
          <w:bCs w:val="false"/>
          <w:color w:val="475569"/>
          <w:sz w:val="20"/>
          <w:szCs w:val="20"/>
        </w:rPr>
        <w:t xml:space="preserve">Судимость гасится по срокам ст. 86 УК РФ — после погашения человек считается несудимым. Для ряда банковских должностей даже погашенная судимость по экономическим статьям остаётся стоп-фактором, это решает работодатель.</w:t>
      </w:r>
    </w:p>
    <w:p>
      <w:pPr>
        <w:spacing w:before="200"/>
      </w:pPr>
      <w:r>
        <w:rPr>
          <w:sz w:val="20"/>
          <w:szCs w:val="20"/>
        </w:rPr>
        <w:t xml:space="preserve">Проверить себя по тем же источникам, что и банковская СБ: </w:t>
      </w:r>
      <w:r>
        <w:rPr>
          <w:b/>
          <w:bCs/>
          <w:color w:val="1D4ED8"/>
          <w:sz w:val="20"/>
          <w:szCs w:val="20"/>
        </w:rPr>
        <w:t xml:space="preserve">dobyto.ru</w:t>
      </w:r>
    </w:p>
    <w:sectPr>
      <w:headerReference w:type="default" r:id="rId7"/>
      <w:footerReference w:type="default" r:id="rId8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75569"/>
        <w:sz w:val="16"/>
        <w:szCs w:val="16"/>
      </w:rPr>
      <w:t xml:space="preserve">dobyto.ru  ·  документ подготовлен сервисом Добыто  ·  стр. </w:t>
    </w:r>
    <w:r>
      <w:rPr>
        <w:color w:val="47556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D4ED8"/>
        <w:sz w:val="22"/>
        <w:szCs w:val="22"/>
      </w:rPr>
      <w:t xml:space="preserve">ДОБЫТО</w:t>
    </w:r>
    <w:r>
      <w:rPr>
        <w:color w:val="475569"/>
        <w:sz w:val="18"/>
        <w:szCs w:val="18"/>
      </w:rPr>
      <w:t xml:space="preserve">  ·  проверка кандидатов и КЭДО</w:t>
    </w:r>
  </w:p>
  <w:p>
    <w:pPr>
      <w:pBdr>
        <w:bottom w:val="single" w:color="1D4ED8" w:sz="6" w:space="4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самопроверки перед проверкой СБ банка</dc:title>
  <dc:creator>Добыто</dc:creator>
  <cp:lastModifiedBy>Un-named</cp:lastModifiedBy>
  <cp:revision>1</cp:revision>
  <dcterms:created xsi:type="dcterms:W3CDTF">2026-08-06T10:57:35.966Z</dcterms:created>
  <dcterms:modified xsi:type="dcterms:W3CDTF">2026-08-06T10:57:35.986Z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