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b/>
          <w:i w:val="0"/>
          <w:color w:val="000000"/>
          <w:sz w:val="26"/>
        </w:rPr>
        <w:t>ОЦЕНОЧНЫЙ ЛИСТ РУКОВОДИТЕЛЯ</w:t>
      </w:r>
    </w:p>
    <w:p>
      <w:pPr>
        <w:spacing w:after="200"/>
        <w:jc w:val="center"/>
      </w:pPr>
      <w:r>
        <w:rPr>
          <w:b w:val="0"/>
          <w:i/>
          <w:color w:val="000000"/>
          <w:sz w:val="24"/>
        </w:rPr>
        <w:t>(оценка методом 180/270 градусов, редакция 2026 года)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Оцениваемый сотрудник: ____________________  Должность: ____________________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Руководитель (оценивающий): ____________________  Дата: __________ 2026 г.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Критерий оценки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Балл (1-5)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Выполнение должностных обязанностей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Качество и сроки работы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Инициативность и самостоятельность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Взаимодействие в команде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Дисциплина и ответственность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Готовность к развитию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  <w:tc>
          <w:tcPr>
            <w:tcW w:type="dxa" w:w="2493"/>
          </w:tcPr>
          <w:p>
            <w:r>
              <w:rPr>
                <w:sz w:val="20"/>
              </w:rPr>
            </w:r>
          </w:p>
        </w:tc>
      </w:tr>
    </w:tbl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pPr>
        <w:spacing w:after="120"/>
      </w:pPr>
      <w:r>
        <w:rPr>
          <w:b w:val="0"/>
          <w:i w:val="0"/>
          <w:color w:val="000000"/>
          <w:sz w:val="24"/>
        </w:rPr>
        <w:t>Итоговая оценка: ______   Общий вывод и рекомендации: __________________________________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Оценка 180/270 включает руководителя и, при варианте 270, коллег плюс самооценку. Набор критериев примерный, компания корректирует его под должность.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