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b/>
          <w:i w:val="0"/>
          <w:color w:val="000000"/>
          <w:sz w:val="26"/>
        </w:rPr>
        <w:t>МОДЕЛЬ КОМПЕТЕНЦИЙ И ПОВЕДЕНЧЕСКИЕ ИНДИКАТОРЫ</w:t>
      </w:r>
    </w:p>
    <w:p>
      <w:pPr>
        <w:spacing w:after="200"/>
        <w:jc w:val="center"/>
      </w:pPr>
      <w:r>
        <w:rPr>
          <w:b w:val="0"/>
          <w:i/>
          <w:color w:val="000000"/>
          <w:sz w:val="24"/>
        </w:rPr>
        <w:t>(для оценки персонала методом 360 градусов, редакция 2026 года)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Компетенция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Поведенческие индикаторы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Шкала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Лидерство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Ставит цели, контролирует результат, делегирует, развивает подчинённых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1-5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Коммуникация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Ясно доносит мысль, слушает, даёт обратную связь, гасит конфликты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1-5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Ответственность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Соблюдает сроки, признаёт ошибки, доводит задачи до результата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1-5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Ориентация на результат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Работает на цель, повышает эффективность, доводит начатое до конца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1-5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Командность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Помогает коллегам, делится знаниями, ставит общий результат выше личного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1-5</w:t>
            </w:r>
          </w:p>
        </w:tc>
      </w:tr>
      <w:tr>
        <w:tc>
          <w:tcPr>
            <w:tcW w:type="dxa" w:w="3324"/>
          </w:tcPr>
          <w:p>
            <w:r>
              <w:rPr>
                <w:sz w:val="20"/>
              </w:rPr>
              <w:t>Развитие и гибкость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Открыт к изменениям, учится на обратной связи, осваивает новое</w:t>
            </w:r>
          </w:p>
        </w:tc>
        <w:tc>
          <w:tcPr>
            <w:tcW w:type="dxa" w:w="3324"/>
          </w:tcPr>
          <w:p>
            <w:r>
              <w:rPr>
                <w:sz w:val="20"/>
              </w:rPr>
              <w:t>1-5</w:t>
            </w:r>
          </w:p>
        </w:tc>
      </w:tr>
    </w:tbl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pPr>
        <w:spacing w:after="120"/>
      </w:pPr>
      <w:r>
        <w:rPr>
          <w:b w:val="0"/>
          <w:i w:val="0"/>
          <w:color w:val="000000"/>
          <w:sz w:val="24"/>
        </w:rPr>
        <w:t>Каждая компетенция раскрывается через 2-4 поведенческих индикатора - конкретных наблюдаемых действия, по которым оценивающий выставляет балл от 1 до 5.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Модель примерная. Набор компетенций подбирается под должность и уровень: линейный сотрудник, руководитель, топ-менеджмент. Для разных ролей допустимо использовать разные модели.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